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47"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211"/>
        <w:gridCol w:w="8696"/>
        <w:gridCol w:w="2976"/>
      </w:tblGrid>
      <w:tr w:rsidR="002B5DA3" w:rsidRPr="002B5DA3" w:rsidTr="002B5DA3">
        <w:trPr>
          <w:trHeight w:val="394"/>
        </w:trPr>
        <w:tc>
          <w:tcPr>
            <w:tcW w:w="5000" w:type="pct"/>
            <w:gridSpan w:val="4"/>
            <w:shd w:val="clear" w:color="auto" w:fill="F2F2F2" w:themeFill="background1" w:themeFillShade="F2"/>
            <w:vAlign w:val="center"/>
          </w:tcPr>
          <w:p w:rsidR="00FA13F8" w:rsidRPr="002B5DA3" w:rsidRDefault="00FA13F8" w:rsidP="002B5DA3">
            <w:pPr>
              <w:snapToGrid w:val="0"/>
              <w:spacing w:beforeLines="40" w:before="96" w:afterLines="40" w:after="96"/>
              <w:ind w:right="0"/>
              <w:jc w:val="center"/>
              <w:rPr>
                <w:rFonts w:asciiTheme="minorHAnsi" w:hAnsiTheme="minorHAnsi" w:cs="Tahoma"/>
                <w:b/>
                <w:sz w:val="28"/>
                <w:szCs w:val="28"/>
                <w:lang w:eastAsia="ar-SA"/>
              </w:rPr>
            </w:pPr>
            <w:r w:rsidRPr="002B5DA3">
              <w:rPr>
                <w:rFonts w:asciiTheme="minorHAnsi" w:hAnsiTheme="minorHAnsi" w:cs="Tahoma"/>
                <w:b/>
                <w:sz w:val="28"/>
                <w:szCs w:val="28"/>
                <w:lang w:eastAsia="ar-SA"/>
              </w:rPr>
              <w:t>LGD PARTNERSTWO DUCHA GÓR w ramach realizacji LSR 2014-2020</w:t>
            </w:r>
          </w:p>
          <w:p w:rsidR="00FA13F8" w:rsidRPr="002B5DA3" w:rsidRDefault="00FA13F8" w:rsidP="002B5DA3">
            <w:pPr>
              <w:snapToGrid w:val="0"/>
              <w:spacing w:beforeLines="40" w:before="96" w:afterLines="40" w:after="96"/>
              <w:ind w:right="0"/>
              <w:jc w:val="center"/>
              <w:rPr>
                <w:rFonts w:asciiTheme="minorHAnsi" w:hAnsiTheme="minorHAnsi" w:cs="Tahoma"/>
                <w:b/>
                <w:sz w:val="28"/>
                <w:szCs w:val="28"/>
                <w:lang w:eastAsia="ar-SA"/>
              </w:rPr>
            </w:pPr>
            <w:r w:rsidRPr="002B5DA3">
              <w:rPr>
                <w:rFonts w:asciiTheme="minorHAnsi" w:hAnsiTheme="minorHAnsi" w:cs="Tahoma"/>
                <w:b/>
                <w:sz w:val="28"/>
                <w:szCs w:val="28"/>
                <w:lang w:eastAsia="ar-SA"/>
              </w:rPr>
              <w:t xml:space="preserve">Lokalne Kryteria Wyboru </w:t>
            </w:r>
          </w:p>
          <w:p w:rsidR="00FA13F8" w:rsidRPr="002B5DA3" w:rsidRDefault="00FA13F8" w:rsidP="002B5DA3">
            <w:pPr>
              <w:snapToGrid w:val="0"/>
              <w:spacing w:beforeLines="40" w:before="96" w:afterLines="40" w:after="96"/>
              <w:ind w:right="0"/>
              <w:jc w:val="center"/>
              <w:rPr>
                <w:rFonts w:asciiTheme="minorHAnsi" w:hAnsiTheme="minorHAnsi" w:cs="Tahoma"/>
                <w:b/>
                <w:sz w:val="28"/>
                <w:szCs w:val="28"/>
                <w:lang w:eastAsia="ar-SA"/>
              </w:rPr>
            </w:pPr>
            <w:r w:rsidRPr="002B5DA3">
              <w:rPr>
                <w:rFonts w:asciiTheme="minorHAnsi" w:hAnsiTheme="minorHAnsi" w:cs="Tahoma"/>
                <w:b/>
                <w:sz w:val="28"/>
                <w:szCs w:val="28"/>
                <w:lang w:eastAsia="ar-SA"/>
              </w:rPr>
              <w:t xml:space="preserve">operacji realizowanych przez podmiot inny niż LGD </w:t>
            </w:r>
          </w:p>
          <w:p w:rsidR="00FA13F8" w:rsidRPr="002B5DA3" w:rsidRDefault="00FA13F8" w:rsidP="002B5DA3">
            <w:pPr>
              <w:snapToGrid w:val="0"/>
              <w:spacing w:beforeLines="40" w:before="96" w:afterLines="40" w:after="96"/>
              <w:ind w:right="0"/>
              <w:jc w:val="center"/>
              <w:rPr>
                <w:rFonts w:asciiTheme="minorHAnsi" w:hAnsiTheme="minorHAnsi" w:cs="Tahoma"/>
                <w:b/>
                <w:sz w:val="28"/>
                <w:szCs w:val="28"/>
                <w:lang w:eastAsia="ar-SA"/>
              </w:rPr>
            </w:pPr>
            <w:r w:rsidRPr="002B5DA3">
              <w:rPr>
                <w:rFonts w:asciiTheme="minorHAnsi" w:hAnsiTheme="minorHAnsi" w:cs="Tahoma"/>
                <w:b/>
                <w:sz w:val="28"/>
                <w:szCs w:val="28"/>
                <w:lang w:eastAsia="ar-SA"/>
              </w:rPr>
              <w:t>II.1.3 Inkubator przetwórstwa</w:t>
            </w:r>
          </w:p>
        </w:tc>
      </w:tr>
      <w:tr w:rsidR="002B5DA3" w:rsidRPr="002B5DA3" w:rsidTr="002B5DA3">
        <w:trPr>
          <w:trHeight w:val="394"/>
        </w:trPr>
        <w:tc>
          <w:tcPr>
            <w:tcW w:w="5000" w:type="pct"/>
            <w:gridSpan w:val="4"/>
            <w:tcBorders>
              <w:bottom w:val="single" w:sz="4" w:space="0" w:color="auto"/>
            </w:tcBorders>
            <w:shd w:val="clear" w:color="auto" w:fill="auto"/>
            <w:vAlign w:val="center"/>
          </w:tcPr>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jeżeli uważa, że niespełnione „0”. </w:t>
            </w:r>
          </w:p>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 xml:space="preserve">Oceniający nie może przyznać punktów cząstkowych np. 0,3 pkt lub 1,3 pkt. </w:t>
            </w:r>
          </w:p>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Oceniający opiera się na definicjach zawartych w kol. opis/definicje.</w:t>
            </w:r>
          </w:p>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Max ilość punktów dla operacji, którą operacja mo</w:t>
            </w:r>
            <w:r w:rsidR="00E25779">
              <w:rPr>
                <w:rFonts w:cs="Tahoma"/>
                <w:b/>
                <w:lang w:eastAsia="ar-SA"/>
              </w:rPr>
              <w:t>że otrzymać w trakcie oceny – 94</w:t>
            </w:r>
            <w:r w:rsidRPr="002B5DA3">
              <w:rPr>
                <w:rFonts w:cs="Tahoma"/>
                <w:b/>
                <w:lang w:eastAsia="ar-SA"/>
              </w:rPr>
              <w:t xml:space="preserve"> pkt.</w:t>
            </w:r>
          </w:p>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Min. ilość punktów dla operacji, którą operacja mu</w:t>
            </w:r>
            <w:r w:rsidR="009E5D8D">
              <w:rPr>
                <w:rFonts w:cs="Tahoma"/>
                <w:b/>
                <w:lang w:eastAsia="ar-SA"/>
              </w:rPr>
              <w:t>si otrzymać w trakcie oceny – 75</w:t>
            </w:r>
            <w:bookmarkStart w:id="0" w:name="_GoBack"/>
            <w:bookmarkEnd w:id="0"/>
            <w:r w:rsidRPr="002B5DA3">
              <w:rPr>
                <w:rFonts w:cs="Tahoma"/>
                <w:b/>
                <w:lang w:eastAsia="ar-SA"/>
              </w:rPr>
              <w:t xml:space="preserve"> pkt. </w:t>
            </w:r>
          </w:p>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FA13F8" w:rsidRPr="002B5DA3" w:rsidRDefault="00FA13F8" w:rsidP="002B5DA3">
            <w:pPr>
              <w:pStyle w:val="Akapitzlist"/>
              <w:numPr>
                <w:ilvl w:val="0"/>
                <w:numId w:val="2"/>
              </w:numPr>
              <w:snapToGrid w:val="0"/>
              <w:spacing w:beforeLines="40" w:before="96" w:afterLines="40" w:after="96"/>
              <w:rPr>
                <w:rFonts w:cs="Tahoma"/>
                <w:b/>
                <w:lang w:eastAsia="ar-SA"/>
              </w:rPr>
            </w:pPr>
            <w:r w:rsidRPr="002B5DA3">
              <w:rPr>
                <w:rFonts w:cs="Tahoma"/>
                <w:b/>
                <w:lang w:eastAsia="ar-SA"/>
              </w:rPr>
              <w:t>Należy zwrócić uwagę na opis każdego kryterium – w niektórych przypadkach możliwe jest przyznanie punktów w jednej kategorii danego kryterium, w niektórych w kilku. Wówczas punkty w danym kryterium należy sumować.</w:t>
            </w:r>
          </w:p>
        </w:tc>
      </w:tr>
      <w:tr w:rsidR="002B5DA3" w:rsidRPr="002B5DA3" w:rsidTr="002B5DA3">
        <w:trPr>
          <w:trHeight w:val="593"/>
        </w:trPr>
        <w:tc>
          <w:tcPr>
            <w:tcW w:w="246" w:type="pct"/>
            <w:shd w:val="clear" w:color="auto" w:fill="F2F2F2" w:themeFill="background1" w:themeFillShade="F2"/>
            <w:vAlign w:val="center"/>
          </w:tcPr>
          <w:p w:rsidR="00FA13F8" w:rsidRPr="002B5DA3" w:rsidRDefault="00FA13F8" w:rsidP="002B5DA3">
            <w:pPr>
              <w:snapToGrid w:val="0"/>
              <w:spacing w:beforeLines="40" w:before="96" w:afterLines="40" w:after="96"/>
              <w:jc w:val="center"/>
              <w:rPr>
                <w:rFonts w:asciiTheme="minorHAnsi" w:hAnsiTheme="minorHAnsi" w:cs="Tahoma"/>
                <w:b/>
                <w:sz w:val="22"/>
                <w:szCs w:val="22"/>
                <w:lang w:eastAsia="ar-SA"/>
              </w:rPr>
            </w:pPr>
            <w:r w:rsidRPr="002B5DA3">
              <w:rPr>
                <w:rFonts w:asciiTheme="minorHAnsi" w:hAnsiTheme="minorHAnsi" w:cs="Tahoma"/>
                <w:b/>
                <w:sz w:val="22"/>
                <w:szCs w:val="22"/>
                <w:lang w:eastAsia="ar-SA"/>
              </w:rPr>
              <w:t>L.p.</w:t>
            </w:r>
          </w:p>
        </w:tc>
        <w:tc>
          <w:tcPr>
            <w:tcW w:w="757" w:type="pct"/>
            <w:shd w:val="clear" w:color="auto" w:fill="F2F2F2" w:themeFill="background1" w:themeFillShade="F2"/>
            <w:vAlign w:val="center"/>
          </w:tcPr>
          <w:p w:rsidR="00FA13F8" w:rsidRPr="002B5DA3" w:rsidRDefault="00FA13F8" w:rsidP="002B5DA3">
            <w:pPr>
              <w:snapToGrid w:val="0"/>
              <w:spacing w:beforeLines="40" w:before="96" w:afterLines="40" w:after="96"/>
              <w:jc w:val="center"/>
              <w:rPr>
                <w:rFonts w:asciiTheme="minorHAnsi" w:hAnsiTheme="minorHAnsi" w:cs="Tahoma"/>
                <w:b/>
                <w:sz w:val="22"/>
                <w:szCs w:val="22"/>
                <w:lang w:eastAsia="ar-SA"/>
              </w:rPr>
            </w:pPr>
            <w:r w:rsidRPr="002B5DA3">
              <w:rPr>
                <w:rFonts w:asciiTheme="minorHAnsi" w:hAnsiTheme="minorHAnsi" w:cs="Tahoma"/>
                <w:b/>
                <w:sz w:val="22"/>
                <w:szCs w:val="22"/>
                <w:lang w:eastAsia="ar-SA"/>
              </w:rPr>
              <w:t>Kryteria oceny</w:t>
            </w:r>
          </w:p>
        </w:tc>
        <w:tc>
          <w:tcPr>
            <w:tcW w:w="2978" w:type="pct"/>
            <w:shd w:val="clear" w:color="auto" w:fill="F2F2F2" w:themeFill="background1" w:themeFillShade="F2"/>
            <w:vAlign w:val="center"/>
          </w:tcPr>
          <w:p w:rsidR="00FA13F8" w:rsidRPr="002B5DA3" w:rsidRDefault="00FA13F8" w:rsidP="002B5DA3">
            <w:pPr>
              <w:pStyle w:val="Akapitzlist"/>
              <w:snapToGrid w:val="0"/>
              <w:spacing w:beforeLines="40" w:before="96" w:afterLines="40" w:after="96"/>
              <w:ind w:left="446"/>
              <w:rPr>
                <w:rFonts w:cs="Tahoma"/>
                <w:b/>
                <w:lang w:eastAsia="ar-SA"/>
              </w:rPr>
            </w:pPr>
            <w:r w:rsidRPr="002B5DA3">
              <w:rPr>
                <w:rFonts w:cs="Tahoma"/>
                <w:b/>
                <w:lang w:eastAsia="ar-SA"/>
              </w:rPr>
              <w:t xml:space="preserve">                                                                              Opis / definicje</w:t>
            </w:r>
          </w:p>
        </w:tc>
        <w:tc>
          <w:tcPr>
            <w:tcW w:w="1019" w:type="pct"/>
            <w:shd w:val="clear" w:color="auto" w:fill="F2F2F2" w:themeFill="background1" w:themeFillShade="F2"/>
            <w:vAlign w:val="center"/>
          </w:tcPr>
          <w:p w:rsidR="00FA13F8" w:rsidRPr="002B5DA3" w:rsidRDefault="00FA13F8" w:rsidP="002B5DA3">
            <w:pPr>
              <w:snapToGrid w:val="0"/>
              <w:spacing w:beforeLines="40" w:before="96" w:afterLines="40" w:after="96"/>
              <w:ind w:right="0"/>
              <w:jc w:val="center"/>
              <w:rPr>
                <w:rFonts w:asciiTheme="minorHAnsi" w:hAnsiTheme="minorHAnsi" w:cs="Tahoma"/>
                <w:b/>
                <w:sz w:val="22"/>
                <w:szCs w:val="22"/>
                <w:lang w:eastAsia="ar-SA"/>
              </w:rPr>
            </w:pPr>
            <w:r w:rsidRPr="002B5DA3">
              <w:rPr>
                <w:rFonts w:asciiTheme="minorHAnsi" w:hAnsiTheme="minorHAnsi" w:cs="Tahoma"/>
                <w:b/>
                <w:sz w:val="22"/>
                <w:szCs w:val="22"/>
                <w:lang w:eastAsia="ar-SA"/>
              </w:rPr>
              <w:t>Punkty</w:t>
            </w:r>
          </w:p>
        </w:tc>
      </w:tr>
      <w:tr w:rsidR="002B5DA3" w:rsidRPr="002B5DA3" w:rsidTr="002B5DA3">
        <w:trPr>
          <w:trHeight w:val="132"/>
        </w:trPr>
        <w:tc>
          <w:tcPr>
            <w:tcW w:w="246" w:type="pct"/>
            <w:shd w:val="clear" w:color="auto" w:fill="auto"/>
            <w:vAlign w:val="center"/>
          </w:tcPr>
          <w:p w:rsidR="00FA13F8" w:rsidRPr="002B5DA3" w:rsidRDefault="00FA13F8" w:rsidP="002B5DA3">
            <w:pPr>
              <w:snapToGrid w:val="0"/>
              <w:spacing w:beforeLines="40" w:before="96" w:afterLines="40" w:after="96"/>
              <w:jc w:val="center"/>
              <w:rPr>
                <w:rFonts w:asciiTheme="minorHAnsi" w:hAnsiTheme="minorHAnsi" w:cs="Tahoma"/>
                <w:sz w:val="22"/>
                <w:szCs w:val="22"/>
                <w:lang w:eastAsia="ar-SA"/>
              </w:rPr>
            </w:pPr>
            <w:r w:rsidRPr="002B5DA3">
              <w:rPr>
                <w:rFonts w:asciiTheme="minorHAnsi" w:hAnsiTheme="minorHAnsi" w:cs="Tahoma"/>
                <w:sz w:val="22"/>
                <w:szCs w:val="22"/>
                <w:lang w:eastAsia="ar-SA"/>
              </w:rPr>
              <w:t>1.</w:t>
            </w:r>
          </w:p>
        </w:tc>
        <w:tc>
          <w:tcPr>
            <w:tcW w:w="757" w:type="pct"/>
            <w:shd w:val="clear" w:color="auto" w:fill="auto"/>
            <w:vAlign w:val="center"/>
          </w:tcPr>
          <w:p w:rsidR="00FA13F8" w:rsidRPr="002B5DA3" w:rsidRDefault="00FA13F8" w:rsidP="002B5DA3">
            <w:pPr>
              <w:snapToGrid w:val="0"/>
              <w:spacing w:beforeLines="40" w:before="96" w:afterLines="40" w:after="96"/>
              <w:ind w:left="0"/>
              <w:rPr>
                <w:rFonts w:asciiTheme="minorHAnsi" w:hAnsiTheme="minorHAnsi" w:cs="Tahoma"/>
                <w:b/>
                <w:sz w:val="22"/>
                <w:szCs w:val="22"/>
                <w:lang w:eastAsia="ar-SA"/>
              </w:rPr>
            </w:pPr>
            <w:r w:rsidRPr="002B5DA3">
              <w:rPr>
                <w:rFonts w:asciiTheme="minorHAnsi" w:hAnsiTheme="minorHAnsi" w:cs="Tahoma"/>
                <w:b/>
                <w:sz w:val="22"/>
                <w:szCs w:val="22"/>
                <w:lang w:eastAsia="ar-SA"/>
              </w:rPr>
              <w:t>Zakres działalności przyczynia się do rozwoju gospodarczego w kierunkach wskazanych w LSR jako kluczowe dla obszaru LGD</w:t>
            </w:r>
          </w:p>
        </w:tc>
        <w:tc>
          <w:tcPr>
            <w:tcW w:w="2978" w:type="pct"/>
            <w:shd w:val="clear" w:color="auto" w:fill="auto"/>
          </w:tcPr>
          <w:p w:rsidR="00FA13F8" w:rsidRPr="002B5DA3" w:rsidRDefault="00FA13F8" w:rsidP="002B5DA3">
            <w:pPr>
              <w:ind w:left="0"/>
              <w:jc w:val="both"/>
              <w:rPr>
                <w:rFonts w:asciiTheme="minorHAnsi" w:hAnsiTheme="minorHAnsi" w:cstheme="minorHAnsi"/>
                <w:sz w:val="22"/>
                <w:szCs w:val="22"/>
              </w:rPr>
            </w:pPr>
            <w:r w:rsidRPr="002B5DA3">
              <w:rPr>
                <w:rFonts w:asciiTheme="minorHAnsi" w:hAnsiTheme="minorHAnsi" w:cstheme="minorHAnsi"/>
                <w:sz w:val="22"/>
                <w:szCs w:val="22"/>
              </w:rPr>
              <w:t>Zakres uruchamianej działalności przyczynia się do rozwoju gospodarczego w kierunkach wskazanych w LSR jako kluczowe dla obszaru LGD.</w:t>
            </w:r>
          </w:p>
          <w:p w:rsidR="00FA13F8" w:rsidRPr="002B5DA3" w:rsidRDefault="00FA13F8" w:rsidP="002B5DA3">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2B5DA3">
              <w:rPr>
                <w:rFonts w:asciiTheme="minorHAnsi" w:eastAsiaTheme="minorHAnsi" w:hAnsiTheme="minorHAnsi" w:cstheme="minorHAnsi"/>
                <w:i/>
                <w:sz w:val="22"/>
                <w:szCs w:val="22"/>
              </w:rPr>
              <w:t>Za kluczowe dla dalszego rozwoju obszaru LSR w dokumencie strategicznym jakim jest LSR na lata 2014- 2020 wskazano produkty lokalne, w tym lokalne produkty rolne oraz ich przetwarzanie jako produktów spożywczych.</w:t>
            </w:r>
          </w:p>
          <w:p w:rsidR="00FA13F8" w:rsidRPr="002B5DA3" w:rsidRDefault="00FA13F8" w:rsidP="002B5DA3">
            <w:pPr>
              <w:widowControl/>
              <w:suppressAutoHyphens w:val="0"/>
              <w:spacing w:before="0" w:after="200" w:line="276" w:lineRule="auto"/>
              <w:ind w:left="48" w:right="0"/>
              <w:contextualSpacing/>
              <w:rPr>
                <w:rFonts w:asciiTheme="minorHAnsi" w:eastAsiaTheme="minorHAnsi" w:hAnsiTheme="minorHAnsi" w:cstheme="minorHAnsi"/>
                <w:i/>
                <w:strike/>
                <w:sz w:val="22"/>
                <w:szCs w:val="22"/>
              </w:rPr>
            </w:pPr>
            <w:r w:rsidRPr="002B5DA3">
              <w:rPr>
                <w:rFonts w:asciiTheme="minorHAnsi" w:eastAsiaTheme="minorHAnsi" w:hAnsiTheme="minorHAnsi" w:cstheme="minorHAnsi"/>
                <w:i/>
                <w:sz w:val="22"/>
                <w:szCs w:val="22"/>
              </w:rPr>
              <w:t>Kryterium weryfikowane będzie na podstawie zapisów w dokumentach aplikacyjnych oraz na podstawie budżetu.</w:t>
            </w:r>
            <w:r w:rsidRPr="002B5DA3">
              <w:rPr>
                <w:rFonts w:asciiTheme="minorHAnsi" w:eastAsiaTheme="minorHAnsi" w:hAnsiTheme="minorHAnsi" w:cstheme="minorHAnsi"/>
                <w:i/>
                <w:strike/>
                <w:sz w:val="22"/>
                <w:szCs w:val="22"/>
              </w:rPr>
              <w:t xml:space="preserve"> </w:t>
            </w:r>
          </w:p>
          <w:p w:rsidR="00FA13F8" w:rsidRPr="002B5DA3" w:rsidRDefault="00FA13F8" w:rsidP="002B5DA3">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2B5DA3">
              <w:rPr>
                <w:rFonts w:asciiTheme="minorHAnsi" w:hAnsiTheme="minorHAnsi" w:cstheme="minorHAnsi"/>
                <w:i/>
                <w:sz w:val="22"/>
                <w:szCs w:val="22"/>
              </w:rPr>
              <w:t>Maksymalna liczba punktów w kryterium – 15.</w:t>
            </w:r>
          </w:p>
        </w:tc>
        <w:tc>
          <w:tcPr>
            <w:tcW w:w="1019" w:type="pct"/>
            <w:shd w:val="clear" w:color="auto" w:fill="auto"/>
          </w:tcPr>
          <w:p w:rsidR="00FA13F8" w:rsidRPr="002B5DA3" w:rsidRDefault="00FA13F8" w:rsidP="002B5DA3">
            <w:pPr>
              <w:widowControl/>
              <w:suppressAutoHyphens w:val="0"/>
              <w:spacing w:before="0" w:after="200" w:line="276" w:lineRule="auto"/>
              <w:ind w:left="48" w:right="0"/>
              <w:contextualSpacing/>
              <w:rPr>
                <w:rFonts w:asciiTheme="minorHAnsi" w:eastAsiaTheme="minorHAnsi" w:hAnsiTheme="minorHAnsi" w:cstheme="minorHAnsi"/>
                <w:sz w:val="22"/>
                <w:szCs w:val="22"/>
              </w:rPr>
            </w:pPr>
            <w:r w:rsidRPr="002B5DA3">
              <w:rPr>
                <w:rFonts w:asciiTheme="minorHAnsi" w:hAnsiTheme="minorHAnsi"/>
                <w:sz w:val="22"/>
                <w:szCs w:val="22"/>
              </w:rPr>
              <w:t xml:space="preserve">15 – operacja dotyczy działalności, której podstawę stanowią </w:t>
            </w:r>
            <w:r w:rsidRPr="002B5DA3">
              <w:rPr>
                <w:rFonts w:asciiTheme="minorHAnsi" w:eastAsiaTheme="minorHAnsi" w:hAnsiTheme="minorHAnsi" w:cstheme="minorHAnsi"/>
                <w:sz w:val="22"/>
                <w:szCs w:val="22"/>
              </w:rPr>
              <w:t xml:space="preserve">produkty lokalne, w tym lokalne produkty rolne oraz ich przetwarzanie jako produktów spożywczych </w:t>
            </w:r>
          </w:p>
          <w:p w:rsidR="00FA13F8" w:rsidRPr="002B5DA3" w:rsidRDefault="00FA13F8" w:rsidP="002B5DA3">
            <w:pPr>
              <w:snapToGrid w:val="0"/>
              <w:spacing w:beforeLines="40" w:before="96" w:afterLines="40" w:after="96"/>
              <w:rPr>
                <w:rFonts w:asciiTheme="minorHAnsi" w:hAnsiTheme="minorHAnsi"/>
                <w:sz w:val="22"/>
                <w:szCs w:val="22"/>
              </w:rPr>
            </w:pPr>
            <w:r w:rsidRPr="002B5DA3">
              <w:rPr>
                <w:rFonts w:asciiTheme="minorHAnsi" w:hAnsiTheme="minorHAnsi"/>
                <w:sz w:val="22"/>
                <w:szCs w:val="22"/>
              </w:rPr>
              <w:t>0 – operacja nie dotyczy wymienionego zakresu</w:t>
            </w:r>
          </w:p>
        </w:tc>
      </w:tr>
      <w:tr w:rsidR="00356CE2" w:rsidRPr="002B5DA3" w:rsidTr="002B5DA3">
        <w:trPr>
          <w:trHeight w:val="132"/>
        </w:trPr>
        <w:tc>
          <w:tcPr>
            <w:tcW w:w="246" w:type="pct"/>
            <w:shd w:val="clear" w:color="auto" w:fill="auto"/>
            <w:vAlign w:val="center"/>
          </w:tcPr>
          <w:p w:rsidR="00356CE2" w:rsidRPr="00C04F4F" w:rsidRDefault="00356CE2" w:rsidP="00356CE2">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t>2.</w:t>
            </w:r>
          </w:p>
        </w:tc>
        <w:tc>
          <w:tcPr>
            <w:tcW w:w="757" w:type="pct"/>
            <w:shd w:val="clear" w:color="auto" w:fill="auto"/>
            <w:vAlign w:val="center"/>
          </w:tcPr>
          <w:p w:rsidR="00356CE2" w:rsidRPr="00C04F4F" w:rsidRDefault="00356CE2" w:rsidP="00356CE2">
            <w:pPr>
              <w:snapToGrid w:val="0"/>
              <w:spacing w:beforeLines="40" w:before="96" w:afterLines="40" w:after="96"/>
              <w:ind w:left="0"/>
              <w:rPr>
                <w:rFonts w:asciiTheme="minorHAnsi" w:hAnsiTheme="minorHAnsi" w:cs="Tahoma"/>
                <w:b/>
                <w:sz w:val="22"/>
                <w:szCs w:val="22"/>
                <w:lang w:eastAsia="ar-SA"/>
              </w:rPr>
            </w:pPr>
            <w:r w:rsidRPr="00C04F4F">
              <w:rPr>
                <w:rFonts w:asciiTheme="minorHAnsi" w:hAnsiTheme="minorHAnsi" w:cs="Tahoma"/>
                <w:b/>
                <w:sz w:val="22"/>
                <w:szCs w:val="22"/>
                <w:lang w:eastAsia="ar-SA"/>
              </w:rPr>
              <w:t xml:space="preserve">Operacja przyczynia się do zwiększenia </w:t>
            </w:r>
            <w:r w:rsidRPr="00C04F4F">
              <w:rPr>
                <w:rFonts w:asciiTheme="minorHAnsi" w:hAnsiTheme="minorHAnsi" w:cs="Tahoma"/>
                <w:b/>
                <w:sz w:val="22"/>
                <w:szCs w:val="22"/>
                <w:lang w:eastAsia="ar-SA"/>
              </w:rPr>
              <w:lastRenderedPageBreak/>
              <w:t>atrakcyjności  turystycznej obszaru LGD</w:t>
            </w:r>
          </w:p>
        </w:tc>
        <w:tc>
          <w:tcPr>
            <w:tcW w:w="2978" w:type="pct"/>
            <w:shd w:val="clear" w:color="auto" w:fill="auto"/>
          </w:tcPr>
          <w:p w:rsidR="00356CE2" w:rsidRPr="00C04F4F" w:rsidRDefault="00356CE2" w:rsidP="00356CE2">
            <w:pPr>
              <w:snapToGrid w:val="0"/>
              <w:spacing w:beforeLines="40" w:before="96" w:afterLines="40" w:after="96"/>
              <w:rPr>
                <w:rFonts w:asciiTheme="minorHAnsi" w:hAnsiTheme="minorHAnsi" w:cstheme="minorHAnsi"/>
                <w:sz w:val="22"/>
                <w:szCs w:val="22"/>
                <w:lang w:eastAsia="ar-SA"/>
              </w:rPr>
            </w:pPr>
            <w:r w:rsidRPr="00C04F4F">
              <w:rPr>
                <w:rFonts w:asciiTheme="minorHAnsi" w:hAnsiTheme="minorHAnsi" w:cstheme="minorHAnsi"/>
                <w:sz w:val="22"/>
                <w:szCs w:val="22"/>
                <w:lang w:eastAsia="ar-SA"/>
              </w:rPr>
              <w:lastRenderedPageBreak/>
              <w:t>Operacja przyczynia się do zwiększenia atrakcyjności  turystycznej lub promocji obszaru LGD.</w:t>
            </w:r>
          </w:p>
          <w:p w:rsidR="00356CE2" w:rsidRPr="00C04F4F" w:rsidRDefault="00356CE2" w:rsidP="00356CE2">
            <w:pPr>
              <w:snapToGrid w:val="0"/>
              <w:spacing w:beforeLines="40" w:before="96" w:afterLines="40" w:after="96"/>
              <w:rPr>
                <w:rFonts w:asciiTheme="minorHAnsi" w:hAnsiTheme="minorHAnsi" w:cstheme="minorHAnsi"/>
                <w:i/>
                <w:sz w:val="22"/>
                <w:szCs w:val="22"/>
                <w:lang w:eastAsia="ar-SA"/>
              </w:rPr>
            </w:pPr>
            <w:r w:rsidRPr="00C04F4F">
              <w:rPr>
                <w:rFonts w:asciiTheme="minorHAnsi" w:hAnsiTheme="minorHAnsi" w:cstheme="minorHAnsi"/>
                <w:i/>
                <w:sz w:val="22"/>
                <w:szCs w:val="22"/>
                <w:lang w:eastAsia="ar-SA"/>
              </w:rPr>
              <w:lastRenderedPageBreak/>
              <w:t>Zwiększenie atrakcyjności turystycznej poprzez:</w:t>
            </w:r>
          </w:p>
          <w:p w:rsidR="00356CE2" w:rsidRPr="00C04F4F" w:rsidRDefault="00356CE2" w:rsidP="00356CE2">
            <w:pPr>
              <w:pStyle w:val="Akapitzlist"/>
              <w:numPr>
                <w:ilvl w:val="0"/>
                <w:numId w:val="6"/>
              </w:numPr>
              <w:rPr>
                <w:rFonts w:cstheme="minorHAnsi"/>
                <w:i/>
              </w:rPr>
            </w:pPr>
            <w:r w:rsidRPr="00C04F4F">
              <w:rPr>
                <w:rFonts w:cstheme="minorHAnsi"/>
                <w:i/>
              </w:rPr>
              <w:t xml:space="preserve">Operacja tworzy ofertę turystyczną: operacje, które zakładają inwestycje służące turystom – np. są zlokalizowane przy szlaku turystycznym, mają charakter otwarty np. muzea, skanseny, wystawy, punkty widokowe, oferta warsztatowa, ścieżki edukacyjne, gastronomia, noclegi </w:t>
            </w:r>
            <w:proofErr w:type="spellStart"/>
            <w:r w:rsidRPr="00C04F4F">
              <w:rPr>
                <w:rFonts w:cstheme="minorHAnsi"/>
                <w:i/>
              </w:rPr>
              <w:t>itd</w:t>
            </w:r>
            <w:proofErr w:type="spellEnd"/>
            <w:r w:rsidRPr="00C04F4F">
              <w:rPr>
                <w:rFonts w:cstheme="minorHAnsi"/>
                <w:i/>
              </w:rPr>
              <w:t>…</w:t>
            </w:r>
          </w:p>
          <w:p w:rsidR="00356CE2" w:rsidRPr="00C04F4F" w:rsidRDefault="00356CE2" w:rsidP="00356CE2">
            <w:pPr>
              <w:pStyle w:val="Akapitzlist"/>
              <w:numPr>
                <w:ilvl w:val="0"/>
                <w:numId w:val="6"/>
              </w:numPr>
              <w:rPr>
                <w:rFonts w:cstheme="minorHAnsi"/>
                <w:i/>
              </w:rPr>
            </w:pPr>
            <w:r w:rsidRPr="00C04F4F">
              <w:rPr>
                <w:rFonts w:cstheme="minorHAnsi"/>
                <w:i/>
              </w:rPr>
              <w:t>Operacja promuje inne miejsca</w:t>
            </w:r>
            <w:r>
              <w:rPr>
                <w:rFonts w:cstheme="minorHAnsi"/>
                <w:i/>
              </w:rPr>
              <w:t xml:space="preserve"> turystyczne</w:t>
            </w:r>
            <w:r w:rsidRPr="00C04F4F">
              <w:rPr>
                <w:rFonts w:cstheme="minorHAnsi"/>
                <w:i/>
              </w:rPr>
              <w:t xml:space="preserve"> na obszarze LGD Partnerstwo Ducha Gór (co najmniej 5 miejsc lub innych atrakcji różnych nie związanych z wnioskodawcą lub możliwie wszystkie, podobne, w jednym obszarze).</w:t>
            </w:r>
          </w:p>
          <w:p w:rsidR="00356CE2" w:rsidRPr="00C04F4F" w:rsidRDefault="00356CE2" w:rsidP="00356CE2">
            <w:pPr>
              <w:pStyle w:val="Akapitzlist"/>
              <w:numPr>
                <w:ilvl w:val="0"/>
                <w:numId w:val="6"/>
              </w:numPr>
              <w:rPr>
                <w:rFonts w:cstheme="minorHAnsi"/>
                <w:i/>
              </w:rPr>
            </w:pPr>
            <w:r w:rsidRPr="00C04F4F">
              <w:rPr>
                <w:rFonts w:cstheme="minorHAnsi"/>
                <w:i/>
              </w:rPr>
              <w:t>Wnioskodawca posiada umowy współpracy z innymi przedsiębiorcami lub instytucjami, przyczyniając się w ten sposób do kooperacji, współpracy lub sieciowania usług na obszarze LGD Partnerstwo Ducha Gór w zakresie turystyki (co najmniej 3-ech różnych, nie związanych z wnioskodawcą). Współpraca z innymi przedsiębiorcami powinna być logiczna i adekwatna do zamierzeń wnioskodawcy.</w:t>
            </w:r>
          </w:p>
          <w:p w:rsidR="00356CE2" w:rsidRPr="00C04F4F" w:rsidRDefault="00356CE2" w:rsidP="00356CE2">
            <w:pPr>
              <w:ind w:left="0"/>
              <w:rPr>
                <w:rFonts w:asciiTheme="minorHAnsi" w:hAnsiTheme="minorHAnsi" w:cstheme="minorHAnsi"/>
                <w:i/>
                <w:sz w:val="22"/>
                <w:szCs w:val="22"/>
              </w:rPr>
            </w:pPr>
            <w:r w:rsidRPr="00C04F4F">
              <w:rPr>
                <w:rFonts w:asciiTheme="minorHAnsi" w:hAnsiTheme="minorHAnsi" w:cstheme="minorHAnsi"/>
                <w:i/>
                <w:sz w:val="22"/>
                <w:szCs w:val="22"/>
              </w:rPr>
              <w:t>Weryfikacja nastąpi na podstawie umów dotyczących kooperacji w zakresie turystyki oraz zapisów w biznesplanie (w tym tabeli wydatków, jeżeli to właściwe), w  tym analizy SWOT dot. tych aspektów.</w:t>
            </w:r>
          </w:p>
          <w:p w:rsidR="00356CE2" w:rsidRPr="00C04F4F" w:rsidRDefault="00356CE2" w:rsidP="00356CE2">
            <w:pPr>
              <w:ind w:left="0"/>
              <w:rPr>
                <w:rFonts w:asciiTheme="minorHAnsi" w:hAnsiTheme="minorHAnsi" w:cstheme="minorHAnsi"/>
                <w:i/>
                <w:sz w:val="22"/>
                <w:szCs w:val="22"/>
              </w:rPr>
            </w:pPr>
            <w:r w:rsidRPr="00C04F4F">
              <w:rPr>
                <w:rFonts w:asciiTheme="minorHAnsi" w:hAnsiTheme="minorHAnsi" w:cstheme="minorHAnsi"/>
                <w:i/>
                <w:sz w:val="22"/>
                <w:szCs w:val="22"/>
              </w:rPr>
              <w:t>Umowa kooperacji powinna zawierać: oznaczenie stron, co jest przedmiotem współpracy i jakie konkretnie działania będą realizowane w ramach umowy, po uzyskaniu dofinansowania. Niedopuszczalne jest stosowanie w umowie deklaracji jednostronnych lub podpisanie umowy tylko przez jedną ze stron np. Wnioskodawcę, wskazanie przedmiotu umowy ogólnie jako „współpraca” lub „wzajemna promocja” .Umowy, z których nie wynikają konkretne zobowiązania dotyczące zakresu działania nowopowstającego przedsiębiorstwa, nie będą brane pod uwagę przy przyznawaniu punktów.</w:t>
            </w:r>
          </w:p>
          <w:p w:rsidR="00356CE2" w:rsidRPr="00C04F4F" w:rsidRDefault="00356CE2" w:rsidP="00356CE2">
            <w:pPr>
              <w:ind w:left="0"/>
              <w:rPr>
                <w:rFonts w:asciiTheme="minorHAnsi" w:hAnsiTheme="minorHAnsi" w:cstheme="minorHAnsi"/>
                <w:i/>
                <w:sz w:val="22"/>
                <w:szCs w:val="22"/>
              </w:rPr>
            </w:pPr>
            <w:r w:rsidRPr="00C04F4F">
              <w:rPr>
                <w:rFonts w:asciiTheme="minorHAnsi" w:hAnsiTheme="minorHAnsi" w:cstheme="minorHAnsi"/>
                <w:i/>
                <w:sz w:val="22"/>
                <w:szCs w:val="22"/>
              </w:rPr>
              <w:t>Maksymalna liczba punktów w kryterium – 15.</w:t>
            </w:r>
          </w:p>
        </w:tc>
        <w:tc>
          <w:tcPr>
            <w:tcW w:w="1019" w:type="pct"/>
            <w:shd w:val="clear" w:color="auto" w:fill="auto"/>
          </w:tcPr>
          <w:p w:rsidR="00356CE2" w:rsidRPr="00C04F4F" w:rsidRDefault="00356CE2" w:rsidP="00356CE2">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 xml:space="preserve">15 – operacja przyczynia się do zwiększenia atrakcyjności </w:t>
            </w:r>
            <w:r w:rsidRPr="00C04F4F">
              <w:rPr>
                <w:rFonts w:asciiTheme="minorHAnsi" w:hAnsiTheme="minorHAnsi" w:cs="Tahoma"/>
                <w:sz w:val="22"/>
                <w:szCs w:val="22"/>
                <w:lang w:eastAsia="ar-SA"/>
              </w:rPr>
              <w:lastRenderedPageBreak/>
              <w:t>turystycznej obszaru poprzez spełnienie 3-trzech łącznie wymienionych warunków</w:t>
            </w:r>
          </w:p>
          <w:p w:rsidR="00356CE2" w:rsidRPr="00C04F4F" w:rsidRDefault="00356CE2" w:rsidP="00356CE2">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t>10 –</w:t>
            </w:r>
            <w:r w:rsidRPr="00C04F4F">
              <w:t xml:space="preserve"> </w:t>
            </w:r>
            <w:r w:rsidRPr="00C04F4F">
              <w:rPr>
                <w:rFonts w:asciiTheme="minorHAnsi" w:hAnsiTheme="minorHAnsi" w:cs="Tahoma"/>
                <w:sz w:val="22"/>
                <w:szCs w:val="22"/>
                <w:lang w:eastAsia="ar-SA"/>
              </w:rPr>
              <w:t>operacja przyczynia się do zwiększenia atrakcyjności turystycznej obszaru poprzez spełnienie 2-óch łącznie wymienionych warunków</w:t>
            </w:r>
          </w:p>
          <w:p w:rsidR="00356CE2" w:rsidRPr="00C04F4F" w:rsidRDefault="00356CE2" w:rsidP="00356CE2">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t>5 - operacja przyczynia się do zwiększenia atrakcyjności turystycznej obszaru poprzez spełnienie 1-ego wymienionego warunku</w:t>
            </w:r>
          </w:p>
          <w:p w:rsidR="00356CE2" w:rsidRPr="00C04F4F" w:rsidRDefault="00356CE2" w:rsidP="00356CE2">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t>0 – operacja nie przyczynia się do zwiększenia  atrakcyjności turystycznej obszaru</w:t>
            </w:r>
          </w:p>
        </w:tc>
      </w:tr>
      <w:tr w:rsidR="007243CF" w:rsidRPr="002B5DA3" w:rsidTr="002B5DA3">
        <w:trPr>
          <w:trHeight w:val="550"/>
        </w:trPr>
        <w:tc>
          <w:tcPr>
            <w:tcW w:w="246" w:type="pct"/>
            <w:shd w:val="clear" w:color="auto" w:fill="auto"/>
            <w:vAlign w:val="center"/>
          </w:tcPr>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p>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p>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t xml:space="preserve">3. </w:t>
            </w:r>
          </w:p>
        </w:tc>
        <w:tc>
          <w:tcPr>
            <w:tcW w:w="757" w:type="pct"/>
            <w:shd w:val="clear" w:color="auto" w:fill="auto"/>
            <w:vAlign w:val="center"/>
          </w:tcPr>
          <w:p w:rsidR="007243CF" w:rsidRPr="00C04F4F" w:rsidRDefault="007243CF" w:rsidP="00924B68">
            <w:pPr>
              <w:snapToGrid w:val="0"/>
              <w:spacing w:beforeLines="40" w:before="96" w:afterLines="40" w:after="96"/>
              <w:ind w:left="0"/>
              <w:rPr>
                <w:rFonts w:asciiTheme="minorHAnsi" w:hAnsiTheme="minorHAnsi" w:cs="Tahoma"/>
                <w:b/>
                <w:sz w:val="22"/>
                <w:szCs w:val="22"/>
                <w:lang w:eastAsia="ar-SA"/>
              </w:rPr>
            </w:pPr>
            <w:r w:rsidRPr="00C04F4F">
              <w:rPr>
                <w:rFonts w:asciiTheme="minorHAnsi" w:hAnsiTheme="minorHAnsi" w:cs="Tahoma"/>
                <w:b/>
                <w:sz w:val="22"/>
                <w:szCs w:val="22"/>
                <w:lang w:eastAsia="ar-SA"/>
              </w:rPr>
              <w:t>Promowanie i wykorzystanie z lokalnych wartości i zasobów</w:t>
            </w:r>
            <w:r w:rsidR="00924B68">
              <w:rPr>
                <w:rFonts w:asciiTheme="minorHAnsi" w:hAnsiTheme="minorHAnsi" w:cs="Tahoma"/>
                <w:b/>
                <w:sz w:val="22"/>
                <w:szCs w:val="22"/>
                <w:lang w:eastAsia="ar-SA"/>
              </w:rPr>
              <w:t xml:space="preserve"> </w:t>
            </w:r>
            <w:r w:rsidRPr="00C04F4F">
              <w:rPr>
                <w:rFonts w:asciiTheme="minorHAnsi" w:hAnsiTheme="minorHAnsi" w:cs="Tahoma"/>
                <w:b/>
                <w:sz w:val="22"/>
                <w:szCs w:val="22"/>
                <w:lang w:eastAsia="ar-SA"/>
              </w:rPr>
              <w:t xml:space="preserve">kulturowych, </w:t>
            </w:r>
            <w:r w:rsidRPr="00C04F4F">
              <w:rPr>
                <w:rFonts w:asciiTheme="minorHAnsi" w:hAnsiTheme="minorHAnsi" w:cs="Tahoma"/>
                <w:b/>
                <w:sz w:val="22"/>
                <w:szCs w:val="22"/>
                <w:lang w:eastAsia="ar-SA"/>
              </w:rPr>
              <w:lastRenderedPageBreak/>
              <w:t>przyrodniczych lub historycznych</w:t>
            </w:r>
          </w:p>
        </w:tc>
        <w:tc>
          <w:tcPr>
            <w:tcW w:w="2978" w:type="pct"/>
            <w:shd w:val="clear" w:color="auto" w:fill="auto"/>
          </w:tcPr>
          <w:p w:rsidR="007243CF" w:rsidRPr="00C04F4F" w:rsidRDefault="007243CF" w:rsidP="007243CF">
            <w:pPr>
              <w:pStyle w:val="Akapitzlist"/>
              <w:ind w:left="142"/>
              <w:jc w:val="both"/>
              <w:rPr>
                <w:rFonts w:cstheme="minorHAnsi"/>
              </w:rPr>
            </w:pPr>
            <w:r w:rsidRPr="00C04F4F">
              <w:rPr>
                <w:rFonts w:cstheme="minorHAnsi"/>
              </w:rPr>
              <w:lastRenderedPageBreak/>
              <w:t xml:space="preserve">Operacja </w:t>
            </w:r>
            <w:r w:rsidRPr="00C04F4F">
              <w:rPr>
                <w:rFonts w:cs="Tahoma"/>
                <w:b/>
                <w:lang w:eastAsia="ar-SA"/>
              </w:rPr>
              <w:t>promuje i wykorzystuje</w:t>
            </w:r>
            <w:r w:rsidRPr="00C04F4F">
              <w:rPr>
                <w:rFonts w:cstheme="minorHAnsi"/>
              </w:rPr>
              <w:t xml:space="preserve"> lokalne wartości i zasoby kulturowe, przyrodnicze lub historyczne. </w:t>
            </w:r>
          </w:p>
          <w:p w:rsidR="007243CF" w:rsidRPr="00C04F4F" w:rsidRDefault="007243CF" w:rsidP="007243CF">
            <w:pPr>
              <w:pStyle w:val="Akapitzlist"/>
              <w:ind w:left="142"/>
              <w:jc w:val="both"/>
              <w:rPr>
                <w:rFonts w:cstheme="minorHAnsi"/>
                <w:i/>
              </w:rPr>
            </w:pPr>
            <w:r w:rsidRPr="00C04F4F">
              <w:rPr>
                <w:rFonts w:cstheme="minorHAnsi"/>
                <w:i/>
              </w:rPr>
              <w:t xml:space="preserve">W ramach kryterium oceniane będzie oparcie operacji  na lokalnych zasobach kulturowych, przyrodniczych i historycznych (3 obszary zasobów), opisanych w Lokalnej Strategii Rozwoju lub dostępnych opracowaniach.  Za operacje oparte na zasobach, uznaje się takie, które w </w:t>
            </w:r>
            <w:r w:rsidRPr="00C04F4F">
              <w:rPr>
                <w:rFonts w:cstheme="minorHAnsi"/>
                <w:i/>
              </w:rPr>
              <w:lastRenderedPageBreak/>
              <w:t>kosztach kwalifikowanych zawierają koszty związane z tymi obszarami, co najmniej 2% dotyczące 1 obszaru, łącznie 6% dotyczące łącznie trzech obszarów:</w:t>
            </w:r>
          </w:p>
          <w:p w:rsidR="007243CF" w:rsidRPr="00C04F4F" w:rsidRDefault="007243CF" w:rsidP="007243CF">
            <w:pPr>
              <w:pStyle w:val="Akapitzlist"/>
              <w:numPr>
                <w:ilvl w:val="0"/>
                <w:numId w:val="7"/>
              </w:numPr>
              <w:snapToGrid w:val="0"/>
              <w:spacing w:beforeLines="40" w:before="96" w:afterLines="40" w:after="96"/>
              <w:rPr>
                <w:rFonts w:cs="Tahoma"/>
                <w:lang w:eastAsia="ar-SA"/>
              </w:rPr>
            </w:pPr>
            <w:r w:rsidRPr="00C04F4F">
              <w:t>operacja opiera się na 1 obszarze zasobów – 2% kosztów kwalifikowanych,</w:t>
            </w:r>
          </w:p>
          <w:p w:rsidR="007243CF" w:rsidRPr="00C04F4F" w:rsidRDefault="007243CF" w:rsidP="007243CF">
            <w:pPr>
              <w:pStyle w:val="Akapitzlist"/>
              <w:numPr>
                <w:ilvl w:val="0"/>
                <w:numId w:val="7"/>
              </w:numPr>
              <w:snapToGrid w:val="0"/>
              <w:spacing w:beforeLines="40" w:before="96" w:afterLines="40" w:after="96"/>
              <w:rPr>
                <w:rFonts w:cs="Tahoma"/>
                <w:lang w:eastAsia="ar-SA"/>
              </w:rPr>
            </w:pPr>
            <w:r w:rsidRPr="00C04F4F">
              <w:rPr>
                <w:rFonts w:cs="Tahoma"/>
                <w:lang w:eastAsia="ar-SA"/>
              </w:rPr>
              <w:t>operacja opiera się na 2 obszarach zasobów – 4 % kosztów kwalifikowanych,</w:t>
            </w:r>
            <w:r w:rsidRPr="00C04F4F">
              <w:rPr>
                <w:rFonts w:cstheme="minorHAnsi"/>
                <w:lang w:eastAsia="ar-SA"/>
              </w:rPr>
              <w:t xml:space="preserve"> po 2% z każdego zasobu</w:t>
            </w:r>
          </w:p>
          <w:p w:rsidR="007243CF" w:rsidRPr="00C04F4F" w:rsidRDefault="007243CF" w:rsidP="007243CF">
            <w:pPr>
              <w:pStyle w:val="Akapitzlist"/>
              <w:numPr>
                <w:ilvl w:val="0"/>
                <w:numId w:val="7"/>
              </w:numPr>
              <w:snapToGrid w:val="0"/>
              <w:spacing w:beforeLines="40" w:before="96" w:afterLines="40" w:after="96"/>
              <w:rPr>
                <w:rFonts w:cs="Tahoma"/>
                <w:lang w:eastAsia="ar-SA"/>
              </w:rPr>
            </w:pPr>
            <w:r w:rsidRPr="00C04F4F">
              <w:rPr>
                <w:rFonts w:cs="Tahoma"/>
                <w:lang w:eastAsia="ar-SA"/>
              </w:rPr>
              <w:t>o</w:t>
            </w:r>
            <w:r w:rsidRPr="00C04F4F">
              <w:t xml:space="preserve">peracja opiera się na 3 obszarach zasobów- 6% kosztów kwalifikowanych, </w:t>
            </w:r>
            <w:r w:rsidRPr="00C04F4F">
              <w:rPr>
                <w:rFonts w:cstheme="minorHAnsi"/>
                <w:lang w:eastAsia="ar-SA"/>
              </w:rPr>
              <w:t>po 2% z każdego zasobu</w:t>
            </w:r>
          </w:p>
          <w:p w:rsidR="007243CF" w:rsidRPr="00C04F4F" w:rsidRDefault="007243CF" w:rsidP="007243CF">
            <w:pPr>
              <w:snapToGrid w:val="0"/>
              <w:spacing w:beforeLines="40" w:before="96" w:afterLines="40" w:after="96"/>
              <w:rPr>
                <w:rFonts w:asciiTheme="minorHAnsi" w:hAnsiTheme="minorHAnsi" w:cstheme="minorHAnsi"/>
                <w:sz w:val="22"/>
                <w:szCs w:val="22"/>
                <w:lang w:eastAsia="ar-SA"/>
              </w:rPr>
            </w:pPr>
            <w:r w:rsidRPr="00C04F4F">
              <w:rPr>
                <w:rFonts w:asciiTheme="minorHAnsi" w:hAnsiTheme="minorHAnsi" w:cstheme="minorHAnsi"/>
                <w:sz w:val="22"/>
                <w:szCs w:val="22"/>
                <w:lang w:eastAsia="ar-SA"/>
              </w:rPr>
              <w:t>Przykład: planowana operacja będzie odnosiła się w części do zasobów przyrodniczych np. ogród ziołowy (1 obszar zasobów), w innej części do historycznych np. historia Laborantów w postaci wystroju wnętrza obiektu (1 obszar zasobów), wówczas koszty związane z zasobami przyrodniczymi powinny stanowić nie mniej niż 2% wszystkich kosztów kwalifikowanych, koszty odnoszące się do zasobów historycznych powinny stanowić nie mniej niż 2% wszystkich kosztów kwalifikowanych. Łącznie to oparcie operacji na 2 obszarach zasobów, a łączne koszty z nimi związane powinny stanowić po 2% z każdego zasobu, łącznie 4% kosztów kwalifikowanych. Analogicznie należy postępować z 3-ma obszarami zasobów.</w:t>
            </w:r>
          </w:p>
          <w:p w:rsidR="007243CF" w:rsidRPr="00C04F4F" w:rsidRDefault="007243CF" w:rsidP="007243CF">
            <w:pPr>
              <w:ind w:left="0"/>
              <w:rPr>
                <w:rFonts w:asciiTheme="minorHAnsi" w:hAnsiTheme="minorHAnsi" w:cstheme="minorHAnsi"/>
                <w:i/>
                <w:sz w:val="22"/>
                <w:szCs w:val="22"/>
              </w:rPr>
            </w:pPr>
            <w:r w:rsidRPr="00C04F4F">
              <w:rPr>
                <w:rFonts w:asciiTheme="minorHAnsi" w:hAnsiTheme="minorHAnsi" w:cstheme="minorHAnsi"/>
                <w:i/>
                <w:sz w:val="22"/>
                <w:szCs w:val="22"/>
              </w:rPr>
              <w:t xml:space="preserve">Kryterium weryfikowane będzie na podstawie: zapisów w biznesplanie, w  tym analizy SWOT dot. tych aspektów, w tym tabeli wydatków, zapisów w dokumentach aplikacyjnych, uzasadnienia zgodności z lokalnymi kryteriami wyboru popartych załączonymi dokumentami (np. źródła pisemne, literatura, dokumentacja zdjęciowa odnośniki do stron www </w:t>
            </w:r>
            <w:proofErr w:type="spellStart"/>
            <w:r w:rsidRPr="00C04F4F">
              <w:rPr>
                <w:rFonts w:asciiTheme="minorHAnsi" w:hAnsiTheme="minorHAnsi" w:cstheme="minorHAnsi"/>
                <w:i/>
                <w:sz w:val="22"/>
                <w:szCs w:val="22"/>
              </w:rPr>
              <w:t>itp</w:t>
            </w:r>
            <w:proofErr w:type="spellEnd"/>
            <w:r w:rsidRPr="00C04F4F">
              <w:rPr>
                <w:rFonts w:asciiTheme="minorHAnsi" w:hAnsiTheme="minorHAnsi" w:cstheme="minorHAnsi"/>
                <w:i/>
                <w:sz w:val="22"/>
                <w:szCs w:val="22"/>
              </w:rPr>
              <w:t xml:space="preserve">…). Załączone dokumenty powinny być w j. polskim (w przypadku tłumaczonych publikacji należy załączyć również kopię w j. obcym), jako odrębne wydruki np. z literatury, ze stron www </w:t>
            </w:r>
            <w:proofErr w:type="spellStart"/>
            <w:r w:rsidRPr="00C04F4F">
              <w:rPr>
                <w:rFonts w:asciiTheme="minorHAnsi" w:hAnsiTheme="minorHAnsi" w:cstheme="minorHAnsi"/>
                <w:i/>
                <w:sz w:val="22"/>
                <w:szCs w:val="22"/>
              </w:rPr>
              <w:t>itp</w:t>
            </w:r>
            <w:proofErr w:type="spellEnd"/>
            <w:r w:rsidRPr="00C04F4F">
              <w:rPr>
                <w:rFonts w:asciiTheme="minorHAnsi" w:hAnsiTheme="minorHAnsi" w:cstheme="minorHAnsi"/>
                <w:i/>
                <w:sz w:val="22"/>
                <w:szCs w:val="22"/>
              </w:rPr>
              <w:t>…Wydruk stron źródeł powinien posiadać opis dotyczący publikacji tj. autor, tytuł, data wydania, wydawnictwo oraz zaznaczony czytelnie konkretny fragment tekstu dot. spełnienia kryterium. Załączniki do wniosku: „Uzasadnienie zgodności operacji z Lokalnymi Kryteriami Wyboru operacji” oraz opisy w nim zawarte nie stanowią załączników dokumentujących spełnienia kryterium nr 3. Bez załączenia konkretnych dokumentów i dowodów na spełnienie kryterium – punkty nie będą przyznawane.</w:t>
            </w:r>
          </w:p>
          <w:p w:rsidR="007243CF" w:rsidRPr="00C04F4F" w:rsidRDefault="007243CF" w:rsidP="007243CF">
            <w:pPr>
              <w:ind w:left="0"/>
              <w:jc w:val="both"/>
              <w:rPr>
                <w:rFonts w:cstheme="minorHAnsi"/>
                <w:i/>
              </w:rPr>
            </w:pPr>
            <w:r w:rsidRPr="00C04F4F">
              <w:rPr>
                <w:rFonts w:asciiTheme="minorHAnsi" w:hAnsiTheme="minorHAnsi" w:cstheme="minorHAnsi"/>
                <w:i/>
                <w:sz w:val="22"/>
                <w:szCs w:val="22"/>
              </w:rPr>
              <w:t>Maksymalna liczba punktów w kryterium – 15.</w:t>
            </w:r>
          </w:p>
        </w:tc>
        <w:tc>
          <w:tcPr>
            <w:tcW w:w="1019" w:type="pct"/>
            <w:shd w:val="clear" w:color="auto" w:fill="auto"/>
          </w:tcPr>
          <w:p w:rsidR="007243CF" w:rsidRPr="00C04F4F" w:rsidRDefault="007243CF" w:rsidP="007243CF">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sz w:val="22"/>
                <w:szCs w:val="22"/>
              </w:rPr>
              <w:lastRenderedPageBreak/>
              <w:t xml:space="preserve"> 1</w:t>
            </w:r>
            <w:r w:rsidRPr="00C04F4F">
              <w:rPr>
                <w:rFonts w:asciiTheme="minorHAnsi" w:hAnsiTheme="minorHAnsi" w:cs="Tahoma"/>
                <w:sz w:val="22"/>
                <w:szCs w:val="22"/>
                <w:lang w:eastAsia="ar-SA"/>
              </w:rPr>
              <w:t>5 – o</w:t>
            </w:r>
            <w:r w:rsidRPr="00C04F4F">
              <w:rPr>
                <w:rFonts w:asciiTheme="minorHAnsi" w:hAnsiTheme="minorHAnsi"/>
                <w:sz w:val="22"/>
                <w:szCs w:val="22"/>
              </w:rPr>
              <w:t>peracja opiera się na 3 obszarach zasobów</w:t>
            </w:r>
          </w:p>
          <w:p w:rsidR="007243CF" w:rsidRPr="00C04F4F" w:rsidRDefault="007243CF" w:rsidP="007243CF">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t>10 –</w:t>
            </w:r>
            <w:r w:rsidRPr="00C04F4F">
              <w:t xml:space="preserve"> </w:t>
            </w:r>
            <w:r w:rsidRPr="00C04F4F">
              <w:rPr>
                <w:rFonts w:asciiTheme="minorHAnsi" w:hAnsiTheme="minorHAnsi" w:cs="Tahoma"/>
                <w:sz w:val="22"/>
                <w:szCs w:val="22"/>
                <w:lang w:eastAsia="ar-SA"/>
              </w:rPr>
              <w:t>operacja opiera się na 2 obszarach zasobów</w:t>
            </w:r>
          </w:p>
          <w:p w:rsidR="007243CF" w:rsidRPr="00C04F4F" w:rsidRDefault="007243CF" w:rsidP="007243CF">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5 –</w:t>
            </w:r>
            <w:r w:rsidRPr="00C04F4F">
              <w:rPr>
                <w:rFonts w:asciiTheme="minorHAnsi" w:hAnsiTheme="minorHAnsi"/>
                <w:sz w:val="22"/>
                <w:szCs w:val="22"/>
              </w:rPr>
              <w:t xml:space="preserve"> operacja opiera się na 1 obszarze zasobów</w:t>
            </w:r>
          </w:p>
          <w:p w:rsidR="007243CF" w:rsidRPr="00C04F4F" w:rsidRDefault="007243CF" w:rsidP="007243CF">
            <w:pPr>
              <w:snapToGrid w:val="0"/>
              <w:spacing w:beforeLines="40" w:before="96" w:afterLines="40" w:after="96"/>
              <w:rPr>
                <w:rFonts w:asciiTheme="minorHAnsi" w:hAnsiTheme="minorHAnsi" w:cs="Tahoma"/>
                <w:sz w:val="22"/>
                <w:szCs w:val="22"/>
                <w:lang w:eastAsia="ar-SA"/>
              </w:rPr>
            </w:pPr>
            <w:r w:rsidRPr="00C04F4F">
              <w:rPr>
                <w:rFonts w:asciiTheme="minorHAnsi" w:hAnsiTheme="minorHAnsi" w:cs="Tahoma"/>
                <w:sz w:val="22"/>
                <w:szCs w:val="22"/>
                <w:lang w:eastAsia="ar-SA"/>
              </w:rPr>
              <w:t xml:space="preserve">0 - </w:t>
            </w:r>
            <w:r w:rsidRPr="00C04F4F">
              <w:rPr>
                <w:rFonts w:asciiTheme="minorHAnsi" w:hAnsiTheme="minorHAnsi"/>
                <w:sz w:val="22"/>
                <w:szCs w:val="22"/>
              </w:rPr>
              <w:t>operacja nie opiera się na  żadnym obszarze zasobów</w:t>
            </w:r>
          </w:p>
        </w:tc>
      </w:tr>
      <w:tr w:rsidR="007243CF" w:rsidRPr="002B5DA3" w:rsidTr="002B5DA3">
        <w:tc>
          <w:tcPr>
            <w:tcW w:w="246" w:type="pct"/>
            <w:shd w:val="clear" w:color="auto" w:fill="auto"/>
            <w:vAlign w:val="center"/>
          </w:tcPr>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4.</w:t>
            </w:r>
          </w:p>
        </w:tc>
        <w:tc>
          <w:tcPr>
            <w:tcW w:w="757" w:type="pct"/>
            <w:shd w:val="clear" w:color="auto" w:fill="auto"/>
            <w:vAlign w:val="center"/>
          </w:tcPr>
          <w:p w:rsidR="007243CF" w:rsidRPr="00C04F4F" w:rsidRDefault="007243CF" w:rsidP="007243CF">
            <w:pPr>
              <w:snapToGrid w:val="0"/>
              <w:spacing w:beforeLines="40" w:before="96" w:afterLines="40" w:after="96"/>
              <w:rPr>
                <w:rFonts w:asciiTheme="minorHAnsi" w:hAnsiTheme="minorHAnsi" w:cs="Tahoma"/>
                <w:b/>
                <w:sz w:val="22"/>
                <w:szCs w:val="22"/>
                <w:lang w:eastAsia="ar-SA"/>
              </w:rPr>
            </w:pPr>
            <w:r w:rsidRPr="00C04F4F">
              <w:rPr>
                <w:rFonts w:asciiTheme="minorHAnsi" w:hAnsiTheme="minorHAnsi" w:cs="Tahoma"/>
                <w:b/>
                <w:sz w:val="22"/>
                <w:szCs w:val="22"/>
                <w:lang w:eastAsia="ar-SA"/>
              </w:rPr>
              <w:t xml:space="preserve">Innowacyjność operacji </w:t>
            </w:r>
          </w:p>
        </w:tc>
        <w:tc>
          <w:tcPr>
            <w:tcW w:w="2978" w:type="pct"/>
            <w:shd w:val="clear" w:color="auto" w:fill="auto"/>
            <w:vAlign w:val="center"/>
          </w:tcPr>
          <w:p w:rsidR="007243CF" w:rsidRPr="00C04F4F" w:rsidRDefault="007243CF" w:rsidP="007243CF">
            <w:pPr>
              <w:pStyle w:val="Akapitzlist"/>
              <w:ind w:left="0"/>
              <w:rPr>
                <w:rFonts w:cstheme="minorHAnsi"/>
              </w:rPr>
            </w:pPr>
            <w:r w:rsidRPr="00C04F4F">
              <w:rPr>
                <w:rFonts w:cstheme="minorHAnsi"/>
              </w:rPr>
              <w:t>Operacja przewiduje zastosowanie rozwiązań nowatorskich i innowacyjnych na obszarze LGD lub jego części.</w:t>
            </w:r>
          </w:p>
          <w:p w:rsidR="007243CF" w:rsidRPr="00C04F4F" w:rsidRDefault="007243CF" w:rsidP="007243CF">
            <w:pPr>
              <w:pStyle w:val="Akapitzlist"/>
              <w:numPr>
                <w:ilvl w:val="0"/>
                <w:numId w:val="8"/>
              </w:numPr>
              <w:jc w:val="both"/>
              <w:rPr>
                <w:rFonts w:cstheme="minorHAnsi"/>
                <w:i/>
              </w:rPr>
            </w:pPr>
            <w:r w:rsidRPr="00C04F4F">
              <w:rPr>
                <w:rFonts w:cstheme="minorHAnsi"/>
                <w:i/>
              </w:rPr>
              <w:lastRenderedPageBreak/>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r w:rsidRPr="00C04F4F">
              <w:t xml:space="preserve"> </w:t>
            </w:r>
            <w:r w:rsidRPr="00C04F4F">
              <w:rPr>
                <w:i/>
              </w:rPr>
              <w:t xml:space="preserve">Zgodnie z definicją wynikającą ze słownika języka polskiego jako nowatorstwo należy rozumieć operacje i rozwiązania </w:t>
            </w:r>
            <w:r w:rsidRPr="00C04F4F">
              <w:rPr>
                <w:rFonts w:cstheme="minorHAnsi"/>
                <w:i/>
              </w:rPr>
              <w:t>niekonwencjonalne, wyjątkowe, odkrywcze, oryginalne, pionierskie, kreatywne. Oznacza to, że powinny to być operacje zupełnie nowe, oryginalne, nigdy do tej pory nie realizowane na całym obszarze LGD, a jeżeli nie było takich działań to należy je rozumieć jako eksperyment na obszarze LGD i tym samym nową jakość. Nowatorstwo na obszarze LGD oznacza, że może to być innowacja przeniesiona z innego obszaru kraju lub świata, a potwierdzenie jej nowatorstwa powinno znajdować odzwierciedlenie w opiniach, literaturze, artykułach niezależnych od wnioskodawcy podmiotów. Przykłady to: SMART DOM lub firma produkująca profesjonalne rowery dla osób niepełnosprawnych, w tym dla weteranów wojen. Tego rodzaju operacje wnoszą całkowicie nową jakość na obszarze LGD oraz mają długofalowy charakter (w sensie trwałości, wprowadzania nowości, oddziaływania kreatywności na innych).</w:t>
            </w:r>
          </w:p>
          <w:p w:rsidR="007243CF" w:rsidRPr="00C04F4F" w:rsidRDefault="007243CF" w:rsidP="007243CF">
            <w:pPr>
              <w:pStyle w:val="Akapitzlist"/>
              <w:numPr>
                <w:ilvl w:val="0"/>
                <w:numId w:val="8"/>
              </w:numPr>
              <w:jc w:val="both"/>
              <w:rPr>
                <w:rFonts w:cstheme="minorHAnsi"/>
                <w:i/>
              </w:rPr>
            </w:pPr>
            <w:r w:rsidRPr="00C04F4F">
              <w:rPr>
                <w:rFonts w:cstheme="minorHAnsi"/>
                <w:i/>
              </w:rPr>
              <w:t>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 (może dotyczyć innowacji w jednej miejscowości). W odróżnieniu od nowatorstwa innowacyjność może dotyczyć istniejącej już inwestycji lub jedynie jej części.</w:t>
            </w:r>
          </w:p>
          <w:p w:rsidR="007243CF" w:rsidRPr="00C04F4F" w:rsidRDefault="007243CF" w:rsidP="007243CF">
            <w:pPr>
              <w:ind w:left="0"/>
              <w:rPr>
                <w:rFonts w:asciiTheme="minorHAnsi" w:hAnsiTheme="minorHAnsi" w:cstheme="minorHAnsi"/>
                <w:i/>
                <w:sz w:val="22"/>
                <w:szCs w:val="22"/>
              </w:rPr>
            </w:pPr>
            <w:r w:rsidRPr="00C04F4F">
              <w:rPr>
                <w:rFonts w:asciiTheme="minorHAnsi" w:hAnsiTheme="minorHAnsi" w:cstheme="minorHAnsi"/>
                <w:i/>
                <w:sz w:val="22"/>
                <w:szCs w:val="22"/>
              </w:rPr>
              <w:t xml:space="preserve">Kryterium będzie weryfikowane na podstawie zapisów w dokumentach aplikacyjnych, uzasadnieniu zgodności z lokalnymi kryteriami wyboru, popartych załączonymi dokumentami i materiałami poświadczającymi, że zastosowane rozwiązania mają taki charakter (np. źródła pisemne, literatura, raporty, dokumentacja zdjęciowa. Załączone dokumenty powinny być w j. polskim (w przypadku tłumaczonych publikacji należy załączyć również kopię w j. obcym), jako odrębne wydruki np. z literatury, ze stron www </w:t>
            </w:r>
            <w:proofErr w:type="spellStart"/>
            <w:r w:rsidRPr="00C04F4F">
              <w:rPr>
                <w:rFonts w:asciiTheme="minorHAnsi" w:hAnsiTheme="minorHAnsi" w:cstheme="minorHAnsi"/>
                <w:i/>
                <w:sz w:val="22"/>
                <w:szCs w:val="22"/>
              </w:rPr>
              <w:t>itp</w:t>
            </w:r>
            <w:proofErr w:type="spellEnd"/>
            <w:r w:rsidRPr="00C04F4F">
              <w:rPr>
                <w:rFonts w:asciiTheme="minorHAnsi" w:hAnsiTheme="minorHAnsi" w:cstheme="minorHAnsi"/>
                <w:i/>
                <w:sz w:val="22"/>
                <w:szCs w:val="22"/>
              </w:rPr>
              <w:t xml:space="preserve">…Wydruk stron źródeł powinien posiadać </w:t>
            </w:r>
            <w:r w:rsidRPr="00C04F4F">
              <w:rPr>
                <w:rFonts w:asciiTheme="minorHAnsi" w:hAnsiTheme="minorHAnsi" w:cstheme="minorHAnsi"/>
                <w:i/>
                <w:sz w:val="22"/>
                <w:szCs w:val="22"/>
              </w:rPr>
              <w:lastRenderedPageBreak/>
              <w:t>opis dotyczący publikacji tj. autor, tytuł, data wydania, wydawnictwo oraz zaznaczony czytelnie konkretny fragment tekstu dot. spełnienia kryterium. Załączniki do wniosku takie jak: „Uzasadnienie zgodności operacji z Lokalnymi Kryteriami Wyboru operacji” oraz opisy w nim zawarte nie stanowią załączników dokumentujących spełnienia kryterium nr 4.</w:t>
            </w:r>
          </w:p>
          <w:p w:rsidR="007243CF" w:rsidRPr="00C04F4F" w:rsidRDefault="007243CF" w:rsidP="007243CF">
            <w:pPr>
              <w:ind w:left="0"/>
              <w:jc w:val="both"/>
              <w:rPr>
                <w:rFonts w:asciiTheme="minorHAnsi" w:hAnsiTheme="minorHAnsi" w:cstheme="minorHAnsi"/>
                <w:i/>
                <w:sz w:val="22"/>
                <w:szCs w:val="22"/>
              </w:rPr>
            </w:pPr>
            <w:r w:rsidRPr="00C04F4F">
              <w:rPr>
                <w:rFonts w:asciiTheme="minorHAnsi" w:hAnsiTheme="minorHAnsi" w:cstheme="minorHAnsi"/>
                <w:i/>
                <w:sz w:val="22"/>
                <w:szCs w:val="22"/>
              </w:rPr>
              <w:t>Bez załączenia konkretnych dokumentów i dowodów na spełnienie kryterium – punkty nie będą przyznawane.</w:t>
            </w:r>
          </w:p>
          <w:p w:rsidR="007243CF" w:rsidRPr="00C04F4F" w:rsidRDefault="007243CF" w:rsidP="007243CF">
            <w:pPr>
              <w:ind w:left="0"/>
              <w:rPr>
                <w:rFonts w:asciiTheme="minorHAnsi" w:hAnsiTheme="minorHAnsi" w:cstheme="minorHAnsi"/>
                <w:i/>
                <w:sz w:val="22"/>
                <w:szCs w:val="22"/>
              </w:rPr>
            </w:pPr>
            <w:r w:rsidRPr="00C04F4F">
              <w:rPr>
                <w:rFonts w:asciiTheme="minorHAnsi" w:hAnsiTheme="minorHAnsi" w:cstheme="minorHAnsi"/>
                <w:i/>
                <w:sz w:val="22"/>
                <w:szCs w:val="22"/>
              </w:rPr>
              <w:t>Maksymalna liczba punktów w kryterium – 10.</w:t>
            </w:r>
          </w:p>
        </w:tc>
        <w:tc>
          <w:tcPr>
            <w:tcW w:w="1019" w:type="pct"/>
            <w:shd w:val="clear" w:color="auto" w:fill="auto"/>
          </w:tcPr>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10 – operacja jest nowatorska</w:t>
            </w:r>
          </w:p>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 xml:space="preserve">5 – operacja jest innowacyjna </w:t>
            </w:r>
          </w:p>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t xml:space="preserve">0 – operacja nie jest nowatorska, ani innowacyjna </w:t>
            </w:r>
          </w:p>
        </w:tc>
      </w:tr>
      <w:tr w:rsidR="007243CF" w:rsidRPr="002B5DA3" w:rsidTr="00CB225B">
        <w:tc>
          <w:tcPr>
            <w:tcW w:w="246" w:type="pct"/>
            <w:shd w:val="clear" w:color="auto" w:fill="auto"/>
            <w:vAlign w:val="center"/>
          </w:tcPr>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5.</w:t>
            </w:r>
          </w:p>
        </w:tc>
        <w:tc>
          <w:tcPr>
            <w:tcW w:w="757" w:type="pct"/>
            <w:shd w:val="clear" w:color="auto" w:fill="auto"/>
            <w:vAlign w:val="center"/>
          </w:tcPr>
          <w:p w:rsidR="007243CF" w:rsidRPr="00C04F4F" w:rsidRDefault="007243CF" w:rsidP="007243CF">
            <w:pPr>
              <w:snapToGrid w:val="0"/>
              <w:spacing w:beforeLines="40" w:before="96" w:afterLines="40" w:after="96"/>
              <w:ind w:left="0"/>
              <w:rPr>
                <w:rFonts w:asciiTheme="minorHAnsi" w:hAnsiTheme="minorHAnsi" w:cs="Tahoma"/>
                <w:b/>
                <w:sz w:val="22"/>
                <w:szCs w:val="22"/>
                <w:lang w:eastAsia="ar-SA"/>
              </w:rPr>
            </w:pPr>
            <w:r w:rsidRPr="00C04F4F">
              <w:rPr>
                <w:rFonts w:asciiTheme="minorHAnsi" w:hAnsiTheme="minorHAnsi" w:cs="Tahoma"/>
                <w:b/>
                <w:sz w:val="22"/>
                <w:szCs w:val="22"/>
                <w:lang w:eastAsia="ar-SA"/>
              </w:rPr>
              <w:t>Utworzenie nowych miejsc pracy</w:t>
            </w:r>
          </w:p>
        </w:tc>
        <w:tc>
          <w:tcPr>
            <w:tcW w:w="2978" w:type="pct"/>
            <w:shd w:val="clear" w:color="auto" w:fill="auto"/>
          </w:tcPr>
          <w:p w:rsidR="00935545" w:rsidRDefault="007243CF" w:rsidP="007243CF">
            <w:pPr>
              <w:pStyle w:val="Akapitzlist"/>
              <w:ind w:left="142"/>
              <w:jc w:val="both"/>
              <w:rPr>
                <w:rFonts w:cstheme="minorHAnsi"/>
              </w:rPr>
            </w:pPr>
            <w:r w:rsidRPr="00C04F4F">
              <w:rPr>
                <w:rFonts w:cstheme="minorHAnsi"/>
              </w:rPr>
              <w:t>Operacja spowoduje utworzenie nowych miejsc pracy w przeliczeni</w:t>
            </w:r>
            <w:r w:rsidR="00935545">
              <w:rPr>
                <w:rFonts w:cstheme="minorHAnsi"/>
              </w:rPr>
              <w:t>u na pełne etaty średnioroczne.</w:t>
            </w:r>
          </w:p>
          <w:p w:rsidR="00935545" w:rsidRDefault="00935545" w:rsidP="007243CF">
            <w:pPr>
              <w:pStyle w:val="Akapitzlist"/>
              <w:ind w:left="142"/>
              <w:jc w:val="both"/>
              <w:rPr>
                <w:rFonts w:cstheme="minorHAnsi"/>
              </w:rPr>
            </w:pPr>
          </w:p>
          <w:p w:rsidR="00935545" w:rsidRDefault="007243CF" w:rsidP="007243CF">
            <w:pPr>
              <w:pStyle w:val="Akapitzlist"/>
              <w:ind w:left="142"/>
              <w:jc w:val="both"/>
              <w:rPr>
                <w:rFonts w:cstheme="minorHAnsi"/>
                <w:i/>
              </w:rPr>
            </w:pPr>
            <w:r w:rsidRPr="00C04F4F">
              <w:rPr>
                <w:rFonts w:cstheme="minorHAnsi"/>
                <w:i/>
              </w:rPr>
              <w:t>W ramach kryterium prefero</w:t>
            </w:r>
            <w:r w:rsidR="00BA2FAB">
              <w:rPr>
                <w:rFonts w:cstheme="minorHAnsi"/>
                <w:i/>
              </w:rPr>
              <w:t xml:space="preserve">wane jest utworzenie </w:t>
            </w:r>
            <w:r w:rsidRPr="00C04F4F">
              <w:rPr>
                <w:rFonts w:cstheme="minorHAnsi"/>
                <w:i/>
              </w:rPr>
              <w:t xml:space="preserve">1 </w:t>
            </w:r>
            <w:r w:rsidR="00935545">
              <w:rPr>
                <w:rFonts w:cstheme="minorHAnsi"/>
                <w:i/>
              </w:rPr>
              <w:t xml:space="preserve">miejsca pracy. </w:t>
            </w:r>
          </w:p>
          <w:p w:rsidR="007243CF" w:rsidRPr="00C04F4F" w:rsidRDefault="007243CF" w:rsidP="007243CF">
            <w:pPr>
              <w:pStyle w:val="Akapitzlist"/>
              <w:ind w:left="142"/>
              <w:jc w:val="both"/>
              <w:rPr>
                <w:rFonts w:cstheme="minorHAnsi"/>
                <w:i/>
              </w:rPr>
            </w:pPr>
            <w:r w:rsidRPr="00C04F4F">
              <w:rPr>
                <w:rFonts w:cstheme="minorHAnsi"/>
                <w:i/>
              </w:rPr>
              <w:t>Kryterium weryfikowane będzie na podstawie zapisów w dokumentach aplikacyjnych.</w:t>
            </w:r>
          </w:p>
          <w:p w:rsidR="007243CF" w:rsidRPr="00C04F4F" w:rsidRDefault="007243CF" w:rsidP="007243CF">
            <w:pPr>
              <w:pStyle w:val="Akapitzlist"/>
              <w:ind w:left="142"/>
              <w:jc w:val="both"/>
              <w:rPr>
                <w:rFonts w:cstheme="minorHAnsi"/>
                <w:i/>
              </w:rPr>
            </w:pPr>
            <w:r w:rsidRPr="00C04F4F">
              <w:rPr>
                <w:rFonts w:cstheme="minorHAnsi"/>
                <w:i/>
              </w:rPr>
              <w:t>Maksymalna liczba punktów w kryterium – 1.</w:t>
            </w:r>
          </w:p>
        </w:tc>
        <w:tc>
          <w:tcPr>
            <w:tcW w:w="1019" w:type="pct"/>
            <w:shd w:val="clear" w:color="auto" w:fill="auto"/>
          </w:tcPr>
          <w:p w:rsidR="00935545" w:rsidRDefault="007243CF" w:rsidP="00935545">
            <w:pPr>
              <w:snapToGrid w:val="0"/>
              <w:spacing w:beforeLines="40" w:before="96" w:afterLines="40" w:after="96"/>
              <w:rPr>
                <w:rFonts w:asciiTheme="minorHAnsi" w:hAnsiTheme="minorHAnsi"/>
                <w:sz w:val="22"/>
                <w:szCs w:val="22"/>
              </w:rPr>
            </w:pPr>
            <w:r w:rsidRPr="00C04F4F">
              <w:rPr>
                <w:rFonts w:asciiTheme="minorHAnsi" w:hAnsiTheme="minorHAnsi"/>
                <w:b/>
                <w:sz w:val="22"/>
                <w:szCs w:val="22"/>
              </w:rPr>
              <w:t>1</w:t>
            </w:r>
            <w:r>
              <w:rPr>
                <w:rFonts w:asciiTheme="minorHAnsi" w:hAnsiTheme="minorHAnsi"/>
                <w:sz w:val="22"/>
                <w:szCs w:val="22"/>
              </w:rPr>
              <w:t xml:space="preserve">– jedno nowe miejsca </w:t>
            </w:r>
            <w:r w:rsidRPr="00C04F4F">
              <w:rPr>
                <w:rFonts w:asciiTheme="minorHAnsi" w:hAnsiTheme="minorHAnsi"/>
                <w:sz w:val="22"/>
                <w:szCs w:val="22"/>
              </w:rPr>
              <w:t xml:space="preserve"> pracy, </w:t>
            </w:r>
          </w:p>
          <w:p w:rsidR="007243CF" w:rsidRPr="00C04F4F" w:rsidRDefault="007243CF" w:rsidP="00935545">
            <w:pPr>
              <w:snapToGrid w:val="0"/>
              <w:spacing w:beforeLines="40" w:before="96" w:afterLines="40" w:after="96"/>
              <w:rPr>
                <w:rFonts w:asciiTheme="minorHAnsi" w:hAnsiTheme="minorHAnsi"/>
                <w:sz w:val="22"/>
                <w:szCs w:val="22"/>
              </w:rPr>
            </w:pPr>
            <w:r w:rsidRPr="00C04F4F">
              <w:rPr>
                <w:rFonts w:asciiTheme="minorHAnsi" w:hAnsiTheme="minorHAnsi" w:cs="Tahoma"/>
                <w:sz w:val="22"/>
                <w:szCs w:val="22"/>
              </w:rPr>
              <w:t>0 – operacja nie przewiduje tworzenia dodatkowych miejsc pracy</w:t>
            </w:r>
            <w:r w:rsidRPr="00C04F4F">
              <w:rPr>
                <w:rFonts w:asciiTheme="minorHAnsi" w:hAnsiTheme="minorHAnsi"/>
                <w:sz w:val="22"/>
                <w:szCs w:val="22"/>
              </w:rPr>
              <w:t xml:space="preserve"> ponad wymagane zobowiązanie wynikające z programu</w:t>
            </w:r>
          </w:p>
        </w:tc>
      </w:tr>
      <w:tr w:rsidR="007243CF" w:rsidRPr="002B5DA3" w:rsidTr="002B5DA3">
        <w:trPr>
          <w:trHeight w:val="7367"/>
        </w:trPr>
        <w:tc>
          <w:tcPr>
            <w:tcW w:w="246" w:type="pct"/>
            <w:shd w:val="clear" w:color="auto" w:fill="auto"/>
            <w:vAlign w:val="center"/>
          </w:tcPr>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6.</w:t>
            </w:r>
          </w:p>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p>
        </w:tc>
        <w:tc>
          <w:tcPr>
            <w:tcW w:w="757" w:type="pct"/>
            <w:shd w:val="clear" w:color="auto" w:fill="auto"/>
            <w:vAlign w:val="center"/>
          </w:tcPr>
          <w:p w:rsidR="007243CF" w:rsidRPr="00C04F4F" w:rsidRDefault="007243CF" w:rsidP="007243CF">
            <w:pPr>
              <w:snapToGrid w:val="0"/>
              <w:spacing w:beforeLines="40" w:before="96" w:afterLines="40" w:after="96"/>
              <w:rPr>
                <w:rFonts w:asciiTheme="minorHAnsi" w:hAnsiTheme="minorHAnsi" w:cs="Tahoma"/>
                <w:b/>
                <w:sz w:val="22"/>
                <w:szCs w:val="22"/>
                <w:lang w:eastAsia="ar-SA"/>
              </w:rPr>
            </w:pPr>
            <w:r w:rsidRPr="00C04F4F">
              <w:rPr>
                <w:rFonts w:asciiTheme="minorHAnsi" w:hAnsiTheme="minorHAnsi" w:cs="Tahoma"/>
                <w:b/>
                <w:sz w:val="22"/>
                <w:szCs w:val="22"/>
                <w:lang w:eastAsia="ar-SA"/>
              </w:rPr>
              <w:t>Zastosowanie rozwiązań sprzyjających ochronie środowiska lub przeciwdziałanie zmianom klimatu</w:t>
            </w:r>
          </w:p>
        </w:tc>
        <w:tc>
          <w:tcPr>
            <w:tcW w:w="2978" w:type="pct"/>
            <w:shd w:val="clear" w:color="auto" w:fill="auto"/>
          </w:tcPr>
          <w:p w:rsidR="007243CF" w:rsidRPr="00C04F4F" w:rsidRDefault="007243CF" w:rsidP="007243CF">
            <w:pPr>
              <w:pStyle w:val="Akapitzlist"/>
              <w:ind w:left="0"/>
              <w:jc w:val="both"/>
              <w:rPr>
                <w:rFonts w:cstheme="minorHAnsi"/>
              </w:rPr>
            </w:pPr>
            <w:r w:rsidRPr="00C04F4F">
              <w:rPr>
                <w:rFonts w:cstheme="minorHAnsi"/>
              </w:rPr>
              <w:t>Operacja przewiduje zastosowanie rozwiązań sprzyjających ochronie środowiska lub przeciwdziałanie zmianom klimatu.</w:t>
            </w:r>
          </w:p>
          <w:p w:rsidR="007243CF" w:rsidRPr="00C04F4F" w:rsidRDefault="007243CF" w:rsidP="007243CF">
            <w:pPr>
              <w:pStyle w:val="Akapitzlist"/>
              <w:ind w:left="0"/>
              <w:jc w:val="both"/>
              <w:rPr>
                <w:rFonts w:cstheme="minorHAnsi"/>
                <w:i/>
              </w:rPr>
            </w:pPr>
            <w:r w:rsidRPr="00C04F4F">
              <w:rPr>
                <w:rFonts w:cstheme="minorHAnsi"/>
                <w:i/>
              </w:rPr>
              <w:t>W ramach kryterium preferowane będą operacje, których realizacja przyczyni się do zastosowania 2 rodzajów działań: inwestycji oraz działań materialnych i niematerialnych, sprzyjających ochronie środowiska lub przeciwdziałania zmianom klimatu:</w:t>
            </w:r>
          </w:p>
          <w:p w:rsidR="007243CF" w:rsidRPr="00C04F4F" w:rsidRDefault="007243CF" w:rsidP="007243CF">
            <w:pPr>
              <w:pStyle w:val="Akapitzlist"/>
              <w:numPr>
                <w:ilvl w:val="0"/>
                <w:numId w:val="9"/>
              </w:numPr>
              <w:jc w:val="both"/>
              <w:rPr>
                <w:rFonts w:cstheme="minorHAnsi"/>
                <w:i/>
              </w:rPr>
            </w:pPr>
            <w:r w:rsidRPr="00C04F4F">
              <w:rPr>
                <w:rFonts w:cstheme="minorHAnsi"/>
                <w:i/>
              </w:rPr>
              <w:t xml:space="preserve">Mogą to być działania polegające na rozwiązaniach inwestycyjnych i materialnych, które stanowią min. 5% budżetu, jak: zwiększaniu lub rewitalizowaniu terenów zieleni,  </w:t>
            </w:r>
            <w:proofErr w:type="spellStart"/>
            <w:r w:rsidRPr="00C04F4F">
              <w:rPr>
                <w:rFonts w:cstheme="minorHAnsi"/>
                <w:i/>
              </w:rPr>
              <w:t>nasadzeniach</w:t>
            </w:r>
            <w:proofErr w:type="spellEnd"/>
            <w:r w:rsidRPr="00C04F4F">
              <w:rPr>
                <w:rFonts w:cstheme="minorHAnsi"/>
                <w:i/>
              </w:rPr>
              <w:t xml:space="preserve"> drzew, krzewów, roślin, poprawie małej retencji, wymianie szczelnych gruntów na przepuszczalne, wykorzystaniu odnawialnych źródeł energii, materiałów przyjaznych środowisku, ograniczanie  emisji  gazów, oznaczenie i ochrona miejsc przyrodniczo cennych, infrastrukturze sprzyjającej turystyce i rekreacji ograniczającej emisję gazów, tworzeniu zielonych miejsc pracy.</w:t>
            </w:r>
          </w:p>
          <w:p w:rsidR="007243CF" w:rsidRPr="00C04F4F" w:rsidRDefault="007243CF" w:rsidP="007243CF">
            <w:pPr>
              <w:pStyle w:val="Akapitzlist"/>
              <w:numPr>
                <w:ilvl w:val="0"/>
                <w:numId w:val="9"/>
              </w:numPr>
              <w:jc w:val="both"/>
              <w:rPr>
                <w:rFonts w:cstheme="minorHAnsi"/>
                <w:i/>
              </w:rPr>
            </w:pPr>
            <w:r w:rsidRPr="00C04F4F">
              <w:rPr>
                <w:rFonts w:cstheme="minorHAnsi"/>
                <w:i/>
              </w:rPr>
              <w:t xml:space="preserve">Mogą to być działania polegające na działaniach niematerialnych jak: edukacji sprzyjającej ochronie środowiska lub przeciwdziałaniu zmianom klimatycznym  w formie szkoleń, warsztatów, prelekcji, akcji, wydarzeń </w:t>
            </w:r>
            <w:proofErr w:type="spellStart"/>
            <w:r w:rsidRPr="00C04F4F">
              <w:rPr>
                <w:rFonts w:cstheme="minorHAnsi"/>
                <w:i/>
              </w:rPr>
              <w:t>itp</w:t>
            </w:r>
            <w:proofErr w:type="spellEnd"/>
            <w:r w:rsidRPr="00C04F4F">
              <w:rPr>
                <w:rFonts w:cstheme="minorHAnsi"/>
                <w:i/>
              </w:rPr>
              <w:t>….  W tym przypadku w budżecie konieczne jest zawarcie dotyczących edukacji kosztów w wierszu „pozostałe wydatki”, jako koszty niekwalifikowane.</w:t>
            </w:r>
          </w:p>
          <w:p w:rsidR="007243CF" w:rsidRPr="00C04F4F" w:rsidRDefault="007243CF" w:rsidP="007243CF">
            <w:pPr>
              <w:pStyle w:val="Akapitzlist"/>
              <w:ind w:left="142"/>
              <w:jc w:val="both"/>
              <w:rPr>
                <w:rFonts w:cstheme="minorHAnsi"/>
                <w:i/>
              </w:rPr>
            </w:pPr>
            <w:r w:rsidRPr="00C04F4F">
              <w:rPr>
                <w:rFonts w:cstheme="minorHAnsi"/>
                <w:i/>
              </w:rPr>
              <w:t xml:space="preserve">Kryterium weryfikowane  będzie  na  podstawie  zapisów w biznesplanie, w tym tabeli wydatków,   uzasadnieniu zgodności z lokalnymi kryteriami wyboru, popartych załączonymi dokumentami i materiałami poświadczającymi, że zastosowane rozwiązania mają taki charakter (np. źródła pisemne, literatura, raporty, dokumentacja zdjęciowa odnośniki do stron www </w:t>
            </w:r>
            <w:proofErr w:type="spellStart"/>
            <w:r w:rsidRPr="00C04F4F">
              <w:rPr>
                <w:rFonts w:cstheme="minorHAnsi"/>
                <w:i/>
              </w:rPr>
              <w:t>itp</w:t>
            </w:r>
            <w:proofErr w:type="spellEnd"/>
            <w:r w:rsidRPr="00C04F4F">
              <w:rPr>
                <w:rFonts w:cstheme="minorHAnsi"/>
                <w:i/>
              </w:rPr>
              <w:t xml:space="preserve">….). Załączone dokumenty powinny być w j. polskim (w przypadku tłumaczonych publikacji należy załączyć również kopię w j. obcym), jako odrębne wydruki np. z literatury, ze stron www </w:t>
            </w:r>
            <w:proofErr w:type="spellStart"/>
            <w:r w:rsidRPr="00C04F4F">
              <w:rPr>
                <w:rFonts w:cstheme="minorHAnsi"/>
                <w:i/>
              </w:rPr>
              <w:t>itp</w:t>
            </w:r>
            <w:proofErr w:type="spellEnd"/>
            <w:r w:rsidRPr="00C04F4F">
              <w:rPr>
                <w:rFonts w:cstheme="minorHAnsi"/>
                <w:i/>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oraz opisy w nim zawarte nie stanowią załączników dokumentujących spełnienia kryterium nr 6.</w:t>
            </w:r>
            <w:r w:rsidRPr="00C04F4F">
              <w:rPr>
                <w:rFonts w:cstheme="minorHAnsi"/>
                <w:b/>
                <w:i/>
              </w:rPr>
              <w:t xml:space="preserve"> </w:t>
            </w:r>
          </w:p>
          <w:p w:rsidR="007243CF" w:rsidRPr="00C04F4F" w:rsidRDefault="007243CF" w:rsidP="007243CF">
            <w:pPr>
              <w:pStyle w:val="Akapitzlist"/>
              <w:ind w:left="142"/>
              <w:jc w:val="both"/>
              <w:rPr>
                <w:rFonts w:cstheme="minorHAnsi"/>
                <w:i/>
              </w:rPr>
            </w:pPr>
            <w:r w:rsidRPr="00C04F4F">
              <w:rPr>
                <w:rFonts w:cstheme="minorHAnsi"/>
                <w:i/>
              </w:rPr>
              <w:lastRenderedPageBreak/>
              <w:t>Bez załączenia konkretnych dokumentów i dowodów na spełnienie kryterium – punkty nie będą przyznawane.</w:t>
            </w:r>
          </w:p>
          <w:p w:rsidR="007243CF" w:rsidRPr="00C04F4F" w:rsidRDefault="007243CF" w:rsidP="007243CF">
            <w:pPr>
              <w:pStyle w:val="Akapitzlist"/>
              <w:ind w:left="142"/>
              <w:jc w:val="both"/>
              <w:rPr>
                <w:rFonts w:cstheme="minorHAnsi"/>
                <w:i/>
              </w:rPr>
            </w:pPr>
            <w:r w:rsidRPr="00C04F4F">
              <w:rPr>
                <w:rFonts w:cstheme="minorHAnsi"/>
                <w:i/>
              </w:rPr>
              <w:t>Maksymalna liczba punktów w kryterium – 5.</w:t>
            </w:r>
          </w:p>
        </w:tc>
        <w:tc>
          <w:tcPr>
            <w:tcW w:w="1019" w:type="pct"/>
            <w:shd w:val="clear" w:color="auto" w:fill="auto"/>
          </w:tcPr>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5 – operacja przewiduje zastosowanie 2-óch rodzajów działań łącznie</w:t>
            </w:r>
          </w:p>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t xml:space="preserve">3 -  operacja przewiduje zastosowanie tylko działań inwestycyjnych i materialnych </w:t>
            </w:r>
          </w:p>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t>1 – operacja przewiduje zastosowanie tylko działań niematerialnych</w:t>
            </w:r>
          </w:p>
          <w:p w:rsidR="007243CF" w:rsidRPr="00C04F4F" w:rsidRDefault="007243CF" w:rsidP="007243CF">
            <w:pPr>
              <w:snapToGrid w:val="0"/>
              <w:spacing w:beforeLines="40" w:before="96" w:afterLines="40" w:after="96"/>
              <w:ind w:left="0"/>
              <w:rPr>
                <w:rFonts w:asciiTheme="minorHAnsi" w:hAnsiTheme="minorHAnsi" w:cs="Tahoma"/>
                <w:sz w:val="22"/>
                <w:szCs w:val="22"/>
              </w:rPr>
            </w:pPr>
            <w:r w:rsidRPr="00C04F4F">
              <w:rPr>
                <w:rFonts w:asciiTheme="minorHAnsi" w:hAnsiTheme="minorHAnsi" w:cs="Tahoma"/>
                <w:sz w:val="22"/>
                <w:szCs w:val="22"/>
              </w:rPr>
              <w:t>0 – operacja nie przewiduje zastosowanie rozwiązań</w:t>
            </w:r>
            <w:r w:rsidRPr="00C04F4F">
              <w:t xml:space="preserve"> </w:t>
            </w:r>
            <w:r w:rsidRPr="00C04F4F">
              <w:rPr>
                <w:rFonts w:asciiTheme="minorHAnsi" w:hAnsiTheme="minorHAnsi" w:cs="Tahoma"/>
                <w:sz w:val="22"/>
                <w:szCs w:val="22"/>
              </w:rPr>
              <w:t>sprzyjających ochronie środowiska lub przeciwdziałaniu zmianom klimatu</w:t>
            </w:r>
          </w:p>
        </w:tc>
      </w:tr>
      <w:tr w:rsidR="007243CF" w:rsidRPr="002B5DA3" w:rsidTr="002B5DA3">
        <w:trPr>
          <w:trHeight w:val="3392"/>
        </w:trPr>
        <w:tc>
          <w:tcPr>
            <w:tcW w:w="246" w:type="pct"/>
            <w:shd w:val="clear" w:color="auto" w:fill="auto"/>
            <w:vAlign w:val="center"/>
          </w:tcPr>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lastRenderedPageBreak/>
              <w:t>7.</w:t>
            </w:r>
          </w:p>
          <w:p w:rsidR="007243CF" w:rsidRPr="00C04F4F" w:rsidRDefault="007243CF" w:rsidP="007243CF">
            <w:pPr>
              <w:snapToGrid w:val="0"/>
              <w:spacing w:beforeLines="40" w:before="96" w:afterLines="40" w:after="96"/>
              <w:jc w:val="center"/>
              <w:rPr>
                <w:rFonts w:asciiTheme="minorHAnsi" w:hAnsiTheme="minorHAnsi" w:cs="Tahoma"/>
                <w:sz w:val="22"/>
                <w:szCs w:val="22"/>
                <w:lang w:eastAsia="ar-SA"/>
              </w:rPr>
            </w:pPr>
            <w:r w:rsidRPr="00C04F4F">
              <w:rPr>
                <w:rFonts w:asciiTheme="minorHAnsi" w:hAnsiTheme="minorHAnsi" w:cs="Tahoma"/>
                <w:sz w:val="22"/>
                <w:szCs w:val="22"/>
                <w:lang w:eastAsia="ar-SA"/>
              </w:rPr>
              <w:t xml:space="preserve"> </w:t>
            </w:r>
          </w:p>
        </w:tc>
        <w:tc>
          <w:tcPr>
            <w:tcW w:w="757" w:type="pct"/>
            <w:shd w:val="clear" w:color="auto" w:fill="auto"/>
            <w:vAlign w:val="center"/>
          </w:tcPr>
          <w:p w:rsidR="007243CF" w:rsidRPr="00C04F4F" w:rsidRDefault="007243CF" w:rsidP="007243CF">
            <w:pPr>
              <w:snapToGrid w:val="0"/>
              <w:spacing w:beforeLines="40" w:before="96" w:afterLines="40" w:after="96"/>
              <w:rPr>
                <w:rFonts w:asciiTheme="minorHAnsi" w:hAnsiTheme="minorHAnsi" w:cs="Tahoma"/>
                <w:b/>
                <w:sz w:val="22"/>
                <w:szCs w:val="22"/>
                <w:lang w:eastAsia="ar-SA"/>
              </w:rPr>
            </w:pPr>
            <w:r w:rsidRPr="00C04F4F">
              <w:rPr>
                <w:rFonts w:asciiTheme="minorHAnsi" w:hAnsiTheme="minorHAnsi" w:cs="Tahoma"/>
                <w:b/>
                <w:sz w:val="22"/>
                <w:szCs w:val="22"/>
                <w:lang w:eastAsia="ar-SA"/>
              </w:rPr>
              <w:t>Zrównoważony rozwój obszaru LGD</w:t>
            </w:r>
          </w:p>
        </w:tc>
        <w:tc>
          <w:tcPr>
            <w:tcW w:w="2978" w:type="pct"/>
            <w:shd w:val="clear" w:color="auto" w:fill="auto"/>
          </w:tcPr>
          <w:p w:rsidR="007243CF" w:rsidRPr="00C04F4F" w:rsidRDefault="007243CF" w:rsidP="007243CF">
            <w:pPr>
              <w:pStyle w:val="Akapitzlist"/>
              <w:ind w:left="0"/>
              <w:jc w:val="both"/>
              <w:rPr>
                <w:rFonts w:cstheme="minorHAnsi"/>
              </w:rPr>
            </w:pPr>
            <w:r w:rsidRPr="00C04F4F">
              <w:rPr>
                <w:rFonts w:cstheme="minorHAnsi"/>
              </w:rPr>
              <w:t>Zrównoważony rozwój obszaru LGD.</w:t>
            </w:r>
          </w:p>
          <w:p w:rsidR="007243CF" w:rsidRPr="00C04F4F" w:rsidRDefault="007243CF" w:rsidP="007243CF">
            <w:pPr>
              <w:pStyle w:val="Akapitzlist"/>
              <w:ind w:left="0"/>
              <w:jc w:val="both"/>
              <w:rPr>
                <w:rFonts w:cstheme="minorHAnsi"/>
                <w:i/>
              </w:rPr>
            </w:pPr>
            <w:r w:rsidRPr="00C04F4F">
              <w:rPr>
                <w:rFonts w:cstheme="minorHAnsi"/>
                <w:i/>
              </w:rPr>
              <w:t>W ramach kryterium preferowane będą operacje, realizowane w miejscowościach, w których występuje deficyt tego rodzaju działalności. Np. miejsca noclegowe, produkcja czy usługi występują w danej miejscowości w małym stopniu lub w ogóle.</w:t>
            </w:r>
          </w:p>
          <w:p w:rsidR="007243CF" w:rsidRPr="00C04F4F" w:rsidRDefault="007243CF" w:rsidP="007243CF">
            <w:pPr>
              <w:ind w:left="0"/>
              <w:jc w:val="both"/>
              <w:rPr>
                <w:rFonts w:asciiTheme="minorHAnsi" w:hAnsiTheme="minorHAnsi" w:cstheme="minorHAnsi"/>
                <w:i/>
                <w:sz w:val="22"/>
                <w:szCs w:val="22"/>
              </w:rPr>
            </w:pPr>
            <w:r w:rsidRPr="00C04F4F">
              <w:rPr>
                <w:rFonts w:asciiTheme="minorHAnsi" w:hAnsiTheme="minorHAnsi" w:cstheme="minorHAnsi"/>
                <w:i/>
                <w:sz w:val="22"/>
                <w:szCs w:val="22"/>
              </w:rPr>
              <w:t>Kryterium weryfikowane będzie na podstawie przedstawionej analizy i argumentacji wnioskodawcy, popartej danymi np. statystycznymi GUS, urzędu gminy/miasta i innych danych dostępnych publicznie lub uzyskanych na wniosek mieszkańca (powinny to być np. wydruki ze statystyk, oficjalne pisma podpisane przez osoby upoważnione z urzędu gminy/miasta). Bez załączenia konkretnych dokumentów i dowodów na spełnienie kryterium – punkty nie będą przyznawane.</w:t>
            </w:r>
          </w:p>
          <w:p w:rsidR="007243CF" w:rsidRPr="00C04F4F" w:rsidRDefault="007243CF" w:rsidP="007243CF">
            <w:pPr>
              <w:pStyle w:val="Akapitzlist"/>
              <w:ind w:left="0"/>
              <w:jc w:val="both"/>
              <w:rPr>
                <w:rFonts w:cstheme="minorHAnsi"/>
                <w:i/>
              </w:rPr>
            </w:pPr>
            <w:r w:rsidRPr="00C04F4F">
              <w:rPr>
                <w:rFonts w:cstheme="minorHAnsi"/>
                <w:i/>
              </w:rPr>
              <w:t>Maksymalna liczba punktów w kryterium – 5.</w:t>
            </w:r>
          </w:p>
        </w:tc>
        <w:tc>
          <w:tcPr>
            <w:tcW w:w="1019" w:type="pct"/>
            <w:shd w:val="clear" w:color="auto" w:fill="auto"/>
          </w:tcPr>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t>5 – operacja jest realizowana w miejscowości, w której występuje deficyt tego rodzaju działalności</w:t>
            </w:r>
          </w:p>
          <w:p w:rsidR="007243CF" w:rsidRPr="00C04F4F" w:rsidRDefault="007243CF" w:rsidP="007243CF">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t>0 – operacja jest realizowana w miejscowości, w której nie występuje deficyt tego rodzaju działalności</w:t>
            </w:r>
          </w:p>
        </w:tc>
      </w:tr>
      <w:tr w:rsidR="003E2337" w:rsidRPr="002B5DA3" w:rsidTr="00920743">
        <w:trPr>
          <w:trHeight w:val="3392"/>
        </w:trPr>
        <w:tc>
          <w:tcPr>
            <w:tcW w:w="246" w:type="pct"/>
            <w:shd w:val="clear" w:color="auto" w:fill="auto"/>
            <w:vAlign w:val="center"/>
          </w:tcPr>
          <w:p w:rsidR="003E2337" w:rsidRPr="00C04F4F" w:rsidRDefault="003E2337" w:rsidP="003E2337">
            <w:pPr>
              <w:snapToGrid w:val="0"/>
              <w:spacing w:beforeLines="40" w:before="96" w:afterLines="40" w:after="96"/>
              <w:jc w:val="center"/>
              <w:rPr>
                <w:rFonts w:asciiTheme="minorHAnsi" w:hAnsiTheme="minorHAnsi" w:cs="Tahoma"/>
                <w:sz w:val="22"/>
                <w:szCs w:val="22"/>
                <w:lang w:eastAsia="ar-SA"/>
              </w:rPr>
            </w:pPr>
            <w:r>
              <w:rPr>
                <w:rFonts w:asciiTheme="minorHAnsi" w:hAnsiTheme="minorHAnsi" w:cs="Tahoma"/>
                <w:sz w:val="22"/>
                <w:szCs w:val="22"/>
                <w:lang w:eastAsia="ar-SA"/>
              </w:rPr>
              <w:t>8</w:t>
            </w:r>
            <w:r w:rsidRPr="00C04F4F">
              <w:rPr>
                <w:rFonts w:asciiTheme="minorHAnsi" w:hAnsiTheme="minorHAnsi" w:cs="Tahoma"/>
                <w:sz w:val="22"/>
                <w:szCs w:val="22"/>
                <w:lang w:eastAsia="ar-SA"/>
              </w:rPr>
              <w:t>.</w:t>
            </w:r>
          </w:p>
        </w:tc>
        <w:tc>
          <w:tcPr>
            <w:tcW w:w="757" w:type="pct"/>
            <w:shd w:val="clear" w:color="auto" w:fill="auto"/>
            <w:vAlign w:val="center"/>
          </w:tcPr>
          <w:p w:rsidR="003E2337" w:rsidRPr="00C04F4F" w:rsidRDefault="003E2337" w:rsidP="003E2337">
            <w:pPr>
              <w:snapToGrid w:val="0"/>
              <w:spacing w:beforeLines="40" w:before="96" w:afterLines="40" w:after="96"/>
              <w:rPr>
                <w:rFonts w:asciiTheme="minorHAnsi" w:hAnsiTheme="minorHAnsi" w:cs="Tahoma"/>
                <w:b/>
                <w:sz w:val="22"/>
                <w:szCs w:val="22"/>
                <w:lang w:eastAsia="ar-SA"/>
              </w:rPr>
            </w:pPr>
            <w:r w:rsidRPr="00C04F4F">
              <w:rPr>
                <w:rFonts w:asciiTheme="minorHAnsi" w:hAnsiTheme="minorHAnsi" w:cs="Tahoma"/>
                <w:b/>
                <w:sz w:val="22"/>
                <w:szCs w:val="22"/>
                <w:lang w:eastAsia="ar-SA"/>
              </w:rPr>
              <w:t>Liczba mieszkańców miejscowości, w której realizowana jest operacja</w:t>
            </w:r>
          </w:p>
        </w:tc>
        <w:tc>
          <w:tcPr>
            <w:tcW w:w="2978" w:type="pct"/>
            <w:shd w:val="clear" w:color="auto" w:fill="auto"/>
            <w:vAlign w:val="center"/>
          </w:tcPr>
          <w:p w:rsidR="003E2337" w:rsidRPr="00C04F4F" w:rsidRDefault="003E2337" w:rsidP="003E2337">
            <w:pPr>
              <w:ind w:left="0"/>
              <w:rPr>
                <w:rFonts w:asciiTheme="minorHAnsi" w:hAnsiTheme="minorHAnsi" w:cs="Tahoma"/>
                <w:sz w:val="22"/>
                <w:szCs w:val="22"/>
              </w:rPr>
            </w:pPr>
            <w:r w:rsidRPr="00C04F4F">
              <w:rPr>
                <w:rFonts w:asciiTheme="minorHAnsi" w:hAnsiTheme="minorHAnsi" w:cs="Tahoma"/>
                <w:sz w:val="22"/>
                <w:szCs w:val="22"/>
              </w:rPr>
              <w:t>Operacja jest realizowana na terenie miejscowości zamieszkałych prz</w:t>
            </w:r>
            <w:r>
              <w:rPr>
                <w:rFonts w:asciiTheme="minorHAnsi" w:hAnsiTheme="minorHAnsi" w:cs="Tahoma"/>
                <w:sz w:val="22"/>
                <w:szCs w:val="22"/>
              </w:rPr>
              <w:t>ez mniej niż 5 tys. mieszkańców.</w:t>
            </w:r>
          </w:p>
          <w:p w:rsidR="003E2337" w:rsidRPr="00C04F4F" w:rsidRDefault="003E2337" w:rsidP="003E2337">
            <w:pPr>
              <w:pStyle w:val="Akapitzlist"/>
              <w:ind w:left="48" w:hanging="48"/>
              <w:rPr>
                <w:rFonts w:cs="Tahoma"/>
                <w:i/>
              </w:rPr>
            </w:pPr>
            <w:r w:rsidRPr="00C04F4F">
              <w:rPr>
                <w:rFonts w:cs="Tahoma"/>
                <w:i/>
              </w:rPr>
              <w:t xml:space="preserve">Kryterium weryfikowane będzie w oparciu o dane GUS na dzień 31.12.2013 r., zawarte w Lokalnej Strategii Rozwoju. W przypadku zmian w wymaganiach programowych PROW 2014-2020 oraz konieczności zastosowania innej podstawy do określania liczby mieszkańców kryterium zostanie odpowiednio dostosowane. </w:t>
            </w:r>
          </w:p>
          <w:p w:rsidR="003E2337" w:rsidRPr="00C04F4F" w:rsidRDefault="003E2337" w:rsidP="003E2337">
            <w:pPr>
              <w:pStyle w:val="Akapitzlist"/>
              <w:ind w:left="48" w:hanging="48"/>
              <w:rPr>
                <w:rFonts w:cs="Tahoma"/>
                <w:i/>
              </w:rPr>
            </w:pPr>
            <w:r w:rsidRPr="00C04F4F">
              <w:rPr>
                <w:rFonts w:cs="Tahoma"/>
                <w:i/>
              </w:rPr>
              <w:t>Maksymaln</w:t>
            </w:r>
            <w:r w:rsidR="00E25779">
              <w:rPr>
                <w:rFonts w:cs="Tahoma"/>
                <w:i/>
              </w:rPr>
              <w:t>a liczba punktów w kryterium – 5</w:t>
            </w:r>
            <w:r w:rsidRPr="00C04F4F">
              <w:rPr>
                <w:rFonts w:cs="Tahoma"/>
                <w:i/>
              </w:rPr>
              <w:t>.</w:t>
            </w:r>
          </w:p>
        </w:tc>
        <w:tc>
          <w:tcPr>
            <w:tcW w:w="1019" w:type="pct"/>
            <w:shd w:val="clear" w:color="auto" w:fill="auto"/>
          </w:tcPr>
          <w:p w:rsidR="003E2337" w:rsidRPr="00C04F4F" w:rsidRDefault="003E2337" w:rsidP="003E2337">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5</w:t>
            </w:r>
            <w:r w:rsidRPr="00C04F4F">
              <w:rPr>
                <w:rFonts w:asciiTheme="minorHAnsi" w:hAnsiTheme="minorHAnsi" w:cs="Tahoma"/>
                <w:sz w:val="22"/>
                <w:szCs w:val="22"/>
                <w:lang w:eastAsia="ar-SA"/>
              </w:rPr>
              <w:t xml:space="preserve"> – </w:t>
            </w:r>
            <w:r>
              <w:rPr>
                <w:rFonts w:asciiTheme="minorHAnsi" w:hAnsiTheme="minorHAnsi" w:cs="Tahoma"/>
                <w:sz w:val="22"/>
                <w:szCs w:val="22"/>
                <w:lang w:eastAsia="ar-SA"/>
              </w:rPr>
              <w:t>operacja</w:t>
            </w:r>
            <w:r w:rsidRPr="00C04F4F">
              <w:rPr>
                <w:rFonts w:asciiTheme="minorHAnsi" w:hAnsiTheme="minorHAnsi" w:cs="Tahoma"/>
                <w:sz w:val="22"/>
                <w:szCs w:val="22"/>
                <w:lang w:eastAsia="ar-SA"/>
              </w:rPr>
              <w:t xml:space="preserve"> w miejscowości do 5 tys. mieszkańców</w:t>
            </w:r>
          </w:p>
          <w:p w:rsidR="003E2337" w:rsidRPr="00C04F4F" w:rsidRDefault="003E2337" w:rsidP="003E2337">
            <w:pPr>
              <w:snapToGrid w:val="0"/>
              <w:spacing w:beforeLines="40" w:before="96" w:afterLines="40" w:after="96"/>
              <w:rPr>
                <w:rFonts w:asciiTheme="minorHAnsi" w:hAnsiTheme="minorHAnsi" w:cs="Tahoma"/>
                <w:sz w:val="22"/>
                <w:szCs w:val="22"/>
                <w:lang w:eastAsia="ar-SA"/>
              </w:rPr>
            </w:pPr>
            <w:r>
              <w:rPr>
                <w:rFonts w:asciiTheme="minorHAnsi" w:hAnsiTheme="minorHAnsi" w:cs="Tahoma"/>
                <w:sz w:val="22"/>
                <w:szCs w:val="22"/>
                <w:lang w:eastAsia="ar-SA"/>
              </w:rPr>
              <w:t>0- operacja</w:t>
            </w:r>
            <w:r w:rsidRPr="00C04F4F">
              <w:rPr>
                <w:rFonts w:asciiTheme="minorHAnsi" w:hAnsiTheme="minorHAnsi" w:cs="Tahoma"/>
                <w:sz w:val="22"/>
                <w:szCs w:val="22"/>
                <w:lang w:eastAsia="ar-SA"/>
              </w:rPr>
              <w:t xml:space="preserve"> w miejscowości pow. 5 tys. mieszkańców </w:t>
            </w:r>
          </w:p>
          <w:p w:rsidR="003E2337" w:rsidRPr="00C04F4F" w:rsidRDefault="003E2337" w:rsidP="003E2337">
            <w:pPr>
              <w:snapToGrid w:val="0"/>
              <w:spacing w:beforeLines="40" w:before="96" w:afterLines="40" w:after="96"/>
              <w:rPr>
                <w:rFonts w:asciiTheme="minorHAnsi" w:hAnsiTheme="minorHAnsi" w:cs="Tahoma"/>
                <w:sz w:val="22"/>
                <w:szCs w:val="22"/>
                <w:lang w:eastAsia="ar-SA"/>
              </w:rPr>
            </w:pPr>
          </w:p>
        </w:tc>
      </w:tr>
      <w:tr w:rsidR="003E2337" w:rsidRPr="002B5DA3" w:rsidTr="002B5DA3">
        <w:trPr>
          <w:trHeight w:val="274"/>
        </w:trPr>
        <w:tc>
          <w:tcPr>
            <w:tcW w:w="246" w:type="pct"/>
            <w:shd w:val="clear" w:color="auto" w:fill="auto"/>
            <w:vAlign w:val="center"/>
          </w:tcPr>
          <w:p w:rsidR="003E2337" w:rsidRPr="00C04F4F" w:rsidRDefault="00DC1601" w:rsidP="003E2337">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9</w:t>
            </w:r>
            <w:r w:rsidR="003E2337" w:rsidRPr="00C04F4F">
              <w:rPr>
                <w:rFonts w:asciiTheme="minorHAnsi" w:hAnsiTheme="minorHAnsi" w:cs="Tahoma"/>
                <w:sz w:val="22"/>
                <w:szCs w:val="22"/>
                <w:lang w:eastAsia="ar-SA"/>
              </w:rPr>
              <w:t>.</w:t>
            </w:r>
          </w:p>
          <w:p w:rsidR="003E2337" w:rsidRPr="00C04F4F" w:rsidRDefault="003E2337" w:rsidP="003E2337">
            <w:pPr>
              <w:snapToGrid w:val="0"/>
              <w:spacing w:beforeLines="40" w:before="96" w:afterLines="40" w:after="96"/>
              <w:ind w:left="0"/>
              <w:rPr>
                <w:rFonts w:asciiTheme="minorHAnsi" w:hAnsiTheme="minorHAnsi" w:cs="Tahoma"/>
                <w:sz w:val="22"/>
                <w:szCs w:val="22"/>
                <w:lang w:eastAsia="ar-SA"/>
              </w:rPr>
            </w:pPr>
          </w:p>
        </w:tc>
        <w:tc>
          <w:tcPr>
            <w:tcW w:w="757" w:type="pct"/>
            <w:shd w:val="clear" w:color="auto" w:fill="auto"/>
            <w:vAlign w:val="center"/>
          </w:tcPr>
          <w:p w:rsidR="003E2337" w:rsidRPr="00C04F4F" w:rsidRDefault="003E2337" w:rsidP="003E2337">
            <w:pPr>
              <w:snapToGrid w:val="0"/>
              <w:spacing w:beforeLines="40" w:before="96" w:afterLines="40" w:after="96"/>
              <w:rPr>
                <w:rFonts w:asciiTheme="minorHAnsi" w:hAnsiTheme="minorHAnsi" w:cs="Tahoma"/>
                <w:b/>
                <w:sz w:val="22"/>
                <w:szCs w:val="22"/>
                <w:lang w:eastAsia="ar-SA"/>
              </w:rPr>
            </w:pPr>
            <w:r w:rsidRPr="00C04F4F">
              <w:rPr>
                <w:rFonts w:asciiTheme="minorHAnsi" w:hAnsiTheme="minorHAnsi" w:cs="Tahoma"/>
                <w:b/>
                <w:sz w:val="22"/>
                <w:szCs w:val="22"/>
                <w:lang w:eastAsia="ar-SA"/>
              </w:rPr>
              <w:t>Promowanie operacji</w:t>
            </w:r>
          </w:p>
        </w:tc>
        <w:tc>
          <w:tcPr>
            <w:tcW w:w="2978" w:type="pct"/>
            <w:shd w:val="clear" w:color="auto" w:fill="auto"/>
            <w:vAlign w:val="center"/>
          </w:tcPr>
          <w:p w:rsidR="003E2337" w:rsidRPr="00C04F4F" w:rsidRDefault="003E2337" w:rsidP="003E2337">
            <w:pPr>
              <w:pStyle w:val="Akapitzlist"/>
              <w:ind w:left="0"/>
              <w:rPr>
                <w:rFonts w:cs="Tahoma"/>
              </w:rPr>
            </w:pPr>
            <w:r w:rsidRPr="00C04F4F">
              <w:rPr>
                <w:rFonts w:cs="Tahoma"/>
              </w:rPr>
              <w:t>Operacja przewiduje działania promujące operację:</w:t>
            </w:r>
          </w:p>
          <w:p w:rsidR="003E2337" w:rsidRPr="00C04F4F" w:rsidRDefault="003E2337" w:rsidP="003E2337">
            <w:pPr>
              <w:pStyle w:val="Akapitzlist"/>
              <w:ind w:left="0"/>
              <w:rPr>
                <w:rFonts w:cs="Tahoma"/>
              </w:rPr>
            </w:pPr>
            <w:r w:rsidRPr="00C04F4F">
              <w:rPr>
                <w:rFonts w:cs="Tahoma"/>
              </w:rPr>
              <w:t>Promowanie operacji oznacza 2 rodzaje działań:</w:t>
            </w:r>
          </w:p>
          <w:p w:rsidR="003E2337" w:rsidRPr="00C04F4F" w:rsidRDefault="003E2337" w:rsidP="003E2337">
            <w:pPr>
              <w:pStyle w:val="Akapitzlist"/>
              <w:ind w:left="1440"/>
              <w:rPr>
                <w:i/>
              </w:rPr>
            </w:pPr>
            <w:r w:rsidRPr="00C04F4F">
              <w:rPr>
                <w:i/>
              </w:rPr>
              <w:t>1) W ramach kryterium preferowane będą operacje zakładają działania promujące projekt i jego efekty,  z wykorzystaniem różnorodnych narzędzi.</w:t>
            </w:r>
          </w:p>
          <w:p w:rsidR="003E2337" w:rsidRPr="00C04F4F" w:rsidRDefault="003E2337" w:rsidP="003E2337">
            <w:pPr>
              <w:pStyle w:val="Akapitzlist"/>
              <w:rPr>
                <w:i/>
              </w:rPr>
            </w:pPr>
            <w:r w:rsidRPr="00C04F4F">
              <w:rPr>
                <w:i/>
              </w:rPr>
              <w:lastRenderedPageBreak/>
              <w:t xml:space="preserve">Różne narzędzia oznaczają </w:t>
            </w:r>
            <w:proofErr w:type="spellStart"/>
            <w:r w:rsidRPr="00C04F4F">
              <w:rPr>
                <w:i/>
              </w:rPr>
              <w:t>np</w:t>
            </w:r>
            <w:proofErr w:type="spellEnd"/>
            <w:r w:rsidRPr="00C04F4F">
              <w:rPr>
                <w:i/>
              </w:rPr>
              <w:t>: 1. Internet (</w:t>
            </w:r>
            <w:proofErr w:type="spellStart"/>
            <w:r w:rsidRPr="00C04F4F">
              <w:rPr>
                <w:i/>
              </w:rPr>
              <w:t>np.strony</w:t>
            </w:r>
            <w:proofErr w:type="spellEnd"/>
            <w:r w:rsidRPr="00C04F4F">
              <w:rPr>
                <w:i/>
              </w:rPr>
              <w:t xml:space="preserve"> www. organizacji, gminy,  </w:t>
            </w:r>
            <w:proofErr w:type="spellStart"/>
            <w:r w:rsidRPr="00C04F4F">
              <w:rPr>
                <w:i/>
              </w:rPr>
              <w:t>facebook</w:t>
            </w:r>
            <w:proofErr w:type="spellEnd"/>
            <w:r w:rsidRPr="00C04F4F">
              <w:rPr>
                <w:i/>
              </w:rPr>
              <w:t>, prasa elektroniczna, portale), 2. prasę drukowaną, 3. radio, 4. TV, 5. materiały drukowane np. ulotki. Należy zakładać co najmniej 3 4 działania.</w:t>
            </w:r>
          </w:p>
          <w:p w:rsidR="003E2337" w:rsidRPr="00C04F4F" w:rsidRDefault="003E2337" w:rsidP="003E2337">
            <w:pPr>
              <w:pStyle w:val="Akapitzlist"/>
              <w:ind w:left="1440"/>
              <w:rPr>
                <w:i/>
              </w:rPr>
            </w:pPr>
            <w:r w:rsidRPr="00C04F4F">
              <w:rPr>
                <w:i/>
              </w:rPr>
              <w:t xml:space="preserve">2)W ramach działań promujących zostanie wykorzystany pełny zakres systemu wizualizacji Kraina Ducha Gór  LGD Partnerstwo Ducha Gór  (m.in. znaków graficznych, logotypów, kolorystyki, czcionki ) zawartych w księdze wizualizacji. Kryterium weryfikowane będzie na podstawie zapisów we wniosku. </w:t>
            </w:r>
          </w:p>
          <w:p w:rsidR="003E2337" w:rsidRPr="00C04F4F" w:rsidRDefault="003E2337" w:rsidP="003E2337">
            <w:pPr>
              <w:pStyle w:val="Akapitzlist"/>
              <w:ind w:left="0"/>
              <w:rPr>
                <w:i/>
              </w:rPr>
            </w:pPr>
            <w:r w:rsidRPr="00C04F4F">
              <w:rPr>
                <w:i/>
              </w:rPr>
              <w:t xml:space="preserve">Kryterium będzie weryfikowane na podstawie: zapisów w </w:t>
            </w:r>
            <w:r w:rsidRPr="00C04F4F">
              <w:rPr>
                <w:rFonts w:cstheme="minorHAnsi"/>
                <w:i/>
              </w:rPr>
              <w:t>biznesplanie, w tym tabeli wydatków</w:t>
            </w:r>
            <w:r w:rsidRPr="00C04F4F">
              <w:rPr>
                <w:i/>
              </w:rPr>
              <w:t xml:space="preserve"> – w wierszu „pozostałe wydatki” oraz zapisów w dokumentach aplikacyjnych – uzasadnienie zgodności z lokalnymi kryteriami wyboru.</w:t>
            </w:r>
          </w:p>
          <w:p w:rsidR="003E2337" w:rsidRPr="00C04F4F" w:rsidRDefault="003E2337" w:rsidP="003E2337">
            <w:pPr>
              <w:pStyle w:val="Akapitzlist"/>
              <w:ind w:left="0"/>
              <w:rPr>
                <w:i/>
              </w:rPr>
            </w:pPr>
            <w:r w:rsidRPr="00C04F4F">
              <w:rPr>
                <w:rFonts w:cs="Tahoma"/>
                <w:i/>
              </w:rPr>
              <w:t>Maksymalna liczba punktów w kryterium – 5.</w:t>
            </w:r>
          </w:p>
        </w:tc>
        <w:tc>
          <w:tcPr>
            <w:tcW w:w="1019" w:type="pct"/>
            <w:shd w:val="clear" w:color="auto" w:fill="auto"/>
          </w:tcPr>
          <w:p w:rsidR="003E2337" w:rsidRPr="00C04F4F" w:rsidRDefault="003E2337" w:rsidP="003E2337">
            <w:pPr>
              <w:snapToGrid w:val="0"/>
              <w:spacing w:beforeLines="40" w:before="96" w:afterLines="40" w:after="96"/>
              <w:ind w:left="0"/>
              <w:rPr>
                <w:rFonts w:asciiTheme="minorHAnsi" w:hAnsiTheme="minorHAnsi" w:cstheme="minorHAnsi"/>
                <w:sz w:val="22"/>
                <w:szCs w:val="22"/>
                <w:lang w:eastAsia="ar-SA"/>
              </w:rPr>
            </w:pPr>
            <w:r w:rsidRPr="00C04F4F">
              <w:rPr>
                <w:rFonts w:asciiTheme="minorHAnsi" w:hAnsiTheme="minorHAnsi" w:cstheme="minorHAnsi"/>
                <w:sz w:val="22"/>
                <w:szCs w:val="22"/>
                <w:lang w:eastAsia="ar-SA"/>
              </w:rPr>
              <w:lastRenderedPageBreak/>
              <w:t xml:space="preserve">5 - działania promujące obejmują 3 rodzaje działań promocyjnych oraz wykorzystanie systemu wizualizacji LGD Partnerstwo Ducha Gór - </w:t>
            </w:r>
            <w:r w:rsidRPr="00C04F4F">
              <w:rPr>
                <w:rFonts w:asciiTheme="minorHAnsi" w:hAnsiTheme="minorHAnsi" w:cstheme="minorHAnsi"/>
                <w:i/>
                <w:sz w:val="22"/>
                <w:szCs w:val="22"/>
              </w:rPr>
              <w:t xml:space="preserve">Kraina Ducha </w:t>
            </w:r>
            <w:r w:rsidRPr="00C04F4F">
              <w:rPr>
                <w:rFonts w:asciiTheme="minorHAnsi" w:hAnsiTheme="minorHAnsi" w:cstheme="minorHAnsi"/>
                <w:i/>
                <w:sz w:val="22"/>
                <w:szCs w:val="22"/>
              </w:rPr>
              <w:lastRenderedPageBreak/>
              <w:t xml:space="preserve">Gór  </w:t>
            </w:r>
          </w:p>
          <w:p w:rsidR="003E2337" w:rsidRPr="00C04F4F" w:rsidRDefault="003E2337" w:rsidP="003E2337">
            <w:pPr>
              <w:snapToGrid w:val="0"/>
              <w:spacing w:beforeLines="40" w:before="96" w:afterLines="40" w:after="96"/>
              <w:ind w:left="0"/>
              <w:rPr>
                <w:rFonts w:asciiTheme="minorHAnsi" w:hAnsiTheme="minorHAnsi" w:cstheme="minorHAnsi"/>
                <w:sz w:val="22"/>
                <w:szCs w:val="22"/>
                <w:lang w:eastAsia="ar-SA"/>
              </w:rPr>
            </w:pPr>
            <w:r w:rsidRPr="00C04F4F">
              <w:rPr>
                <w:rFonts w:asciiTheme="minorHAnsi" w:hAnsiTheme="minorHAnsi" w:cstheme="minorHAnsi"/>
                <w:sz w:val="22"/>
                <w:szCs w:val="22"/>
                <w:lang w:eastAsia="ar-SA"/>
              </w:rPr>
              <w:t>3 – działania promujące obejmują 3 rodzaje działań promocyjnych</w:t>
            </w:r>
          </w:p>
          <w:p w:rsidR="003E2337" w:rsidRPr="00C04F4F" w:rsidRDefault="003E2337" w:rsidP="003E2337">
            <w:pPr>
              <w:snapToGrid w:val="0"/>
              <w:spacing w:beforeLines="40" w:before="96" w:afterLines="40" w:after="96"/>
              <w:ind w:left="0"/>
              <w:rPr>
                <w:rFonts w:asciiTheme="minorHAnsi" w:hAnsiTheme="minorHAnsi" w:cstheme="minorHAnsi"/>
                <w:sz w:val="22"/>
                <w:szCs w:val="22"/>
                <w:lang w:eastAsia="ar-SA"/>
              </w:rPr>
            </w:pPr>
            <w:r w:rsidRPr="00C04F4F">
              <w:rPr>
                <w:rFonts w:asciiTheme="minorHAnsi" w:hAnsiTheme="minorHAnsi" w:cstheme="minorHAnsi"/>
                <w:sz w:val="22"/>
                <w:szCs w:val="22"/>
                <w:lang w:eastAsia="ar-SA"/>
              </w:rPr>
              <w:t xml:space="preserve">2 –działania obejmują wykorzystanie zakresu systemu wizualizacji LGD Partnerstwo Ducha Gór - </w:t>
            </w:r>
            <w:r w:rsidRPr="00C04F4F">
              <w:rPr>
                <w:rFonts w:asciiTheme="minorHAnsi" w:hAnsiTheme="minorHAnsi" w:cstheme="minorHAnsi"/>
                <w:i/>
                <w:sz w:val="22"/>
                <w:szCs w:val="22"/>
              </w:rPr>
              <w:t xml:space="preserve">Kraina Ducha Gór  </w:t>
            </w:r>
          </w:p>
          <w:p w:rsidR="003E2337" w:rsidRPr="00C04F4F" w:rsidRDefault="003E2337" w:rsidP="003E2337">
            <w:pPr>
              <w:snapToGrid w:val="0"/>
              <w:spacing w:beforeLines="40" w:before="96" w:afterLines="40" w:after="96"/>
              <w:ind w:left="0"/>
              <w:rPr>
                <w:rFonts w:asciiTheme="minorHAnsi" w:hAnsiTheme="minorHAnsi" w:cstheme="minorHAnsi"/>
                <w:i/>
                <w:sz w:val="22"/>
                <w:szCs w:val="22"/>
              </w:rPr>
            </w:pPr>
            <w:r w:rsidRPr="00C04F4F">
              <w:rPr>
                <w:rFonts w:asciiTheme="minorHAnsi" w:hAnsiTheme="minorHAnsi" w:cstheme="minorHAnsi"/>
                <w:sz w:val="22"/>
                <w:szCs w:val="22"/>
                <w:lang w:eastAsia="ar-SA"/>
              </w:rPr>
              <w:t>0 –operacja nie przewiduje żadnych działań promocyjnych</w:t>
            </w:r>
          </w:p>
          <w:p w:rsidR="003E2337" w:rsidRPr="00C04F4F" w:rsidRDefault="003E2337" w:rsidP="003E2337">
            <w:pPr>
              <w:snapToGrid w:val="0"/>
              <w:spacing w:beforeLines="40" w:before="96" w:afterLines="40" w:after="96"/>
              <w:ind w:left="0"/>
              <w:rPr>
                <w:rFonts w:asciiTheme="minorHAnsi" w:hAnsiTheme="minorHAnsi" w:cstheme="minorHAnsi"/>
                <w:sz w:val="22"/>
                <w:szCs w:val="22"/>
                <w:lang w:eastAsia="ar-SA"/>
              </w:rPr>
            </w:pPr>
          </w:p>
        </w:tc>
      </w:tr>
      <w:tr w:rsidR="00B248B2" w:rsidRPr="002B5DA3" w:rsidTr="00DD5E23">
        <w:trPr>
          <w:trHeight w:val="274"/>
        </w:trPr>
        <w:tc>
          <w:tcPr>
            <w:tcW w:w="246" w:type="pct"/>
            <w:shd w:val="clear" w:color="auto" w:fill="auto"/>
            <w:vAlign w:val="center"/>
          </w:tcPr>
          <w:p w:rsidR="00B248B2" w:rsidRDefault="00B248B2" w:rsidP="00B248B2">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lastRenderedPageBreak/>
              <w:t>10.</w:t>
            </w:r>
          </w:p>
        </w:tc>
        <w:tc>
          <w:tcPr>
            <w:tcW w:w="757" w:type="pct"/>
            <w:shd w:val="clear" w:color="auto" w:fill="auto"/>
            <w:vAlign w:val="center"/>
          </w:tcPr>
          <w:p w:rsidR="00B248B2" w:rsidRPr="00C04F4F" w:rsidRDefault="00B248B2" w:rsidP="00B248B2">
            <w:pPr>
              <w:snapToGrid w:val="0"/>
              <w:spacing w:beforeLines="40" w:before="96" w:afterLines="40" w:after="96"/>
              <w:rPr>
                <w:rFonts w:asciiTheme="minorHAnsi" w:hAnsiTheme="minorHAnsi" w:cs="Tahoma"/>
                <w:b/>
                <w:sz w:val="22"/>
                <w:szCs w:val="22"/>
                <w:lang w:eastAsia="ar-SA"/>
              </w:rPr>
            </w:pPr>
            <w:r w:rsidRPr="00C04F4F">
              <w:rPr>
                <w:rFonts w:asciiTheme="minorHAnsi" w:hAnsiTheme="minorHAnsi" w:cs="Tahoma"/>
                <w:b/>
                <w:sz w:val="22"/>
                <w:szCs w:val="22"/>
                <w:lang w:eastAsia="ar-SA"/>
              </w:rPr>
              <w:t>Zgodność ope</w:t>
            </w:r>
            <w:r w:rsidR="000B6AD9">
              <w:rPr>
                <w:rFonts w:asciiTheme="minorHAnsi" w:hAnsiTheme="minorHAnsi" w:cs="Tahoma"/>
                <w:b/>
                <w:sz w:val="22"/>
                <w:szCs w:val="22"/>
                <w:lang w:eastAsia="ar-SA"/>
              </w:rPr>
              <w:t>racji z potrzebami mieszkańców</w:t>
            </w:r>
          </w:p>
        </w:tc>
        <w:tc>
          <w:tcPr>
            <w:tcW w:w="2978" w:type="pct"/>
            <w:shd w:val="clear" w:color="auto" w:fill="auto"/>
          </w:tcPr>
          <w:p w:rsidR="00B248B2" w:rsidRPr="00C04F4F" w:rsidRDefault="00B248B2" w:rsidP="00B248B2">
            <w:pPr>
              <w:pStyle w:val="Akapitzlist"/>
              <w:ind w:left="48"/>
              <w:jc w:val="both"/>
            </w:pPr>
            <w:r w:rsidRPr="00C04F4F">
              <w:t>Operacja zakłada realizację operacji zg</w:t>
            </w:r>
            <w:r w:rsidR="000B6AD9">
              <w:t>odnych z potrzebami mieszkańców</w:t>
            </w:r>
          </w:p>
          <w:p w:rsidR="00B248B2" w:rsidRPr="00C04F4F" w:rsidRDefault="00B248B2" w:rsidP="00B248B2">
            <w:pPr>
              <w:pStyle w:val="Akapitzlist"/>
              <w:ind w:left="48"/>
              <w:jc w:val="both"/>
              <w:rPr>
                <w:i/>
              </w:rPr>
            </w:pPr>
            <w:r w:rsidRPr="00C04F4F">
              <w:rPr>
                <w:i/>
              </w:rPr>
              <w:t>Zgodność operacji z potrzebami społecznymi oz</w:t>
            </w:r>
            <w:r>
              <w:rPr>
                <w:i/>
              </w:rPr>
              <w:t>nacza zgodność w następujących 3</w:t>
            </w:r>
            <w:r w:rsidRPr="00C04F4F">
              <w:rPr>
                <w:i/>
              </w:rPr>
              <w:t>-ch aspektach:</w:t>
            </w:r>
          </w:p>
          <w:p w:rsidR="00B248B2" w:rsidRPr="00C04F4F" w:rsidRDefault="00B248B2" w:rsidP="00B248B2">
            <w:pPr>
              <w:pStyle w:val="Akapitzlist"/>
              <w:numPr>
                <w:ilvl w:val="0"/>
                <w:numId w:val="10"/>
              </w:numPr>
              <w:jc w:val="both"/>
              <w:rPr>
                <w:i/>
              </w:rPr>
            </w:pPr>
            <w:r w:rsidRPr="00C04F4F">
              <w:rPr>
                <w:i/>
              </w:rPr>
              <w:t xml:space="preserve">Konsultacje społeczne: operacja wynika z konkretnych potrzeb danej społeczności i rozwiązuje lokalny problem, co zostanie poparte konsultacjami społecznymi. Wnioskodawca powinien udokumentować przeprowadzenie konsultacji społecznych, w formie np. spotkań, wideokonferencji, badania ankietowego, innych. Konsultacje społeczne realizacji operacji powinno odbyć się w miejscowości lub na obszarze, na którym będzie realizowana operacja, w tym, co najmniej jedno bezpośrednie spotkanie  z mieszkańcami. Kryterium weryfikowane będzie w oparciu o opis we wniosku oraz dokumentację potwierdzającą przeprowadzenie i wyniki konsultacji przedłożone wraz z dokumentacją aplikacyjną przez Wnioskodawcę. </w:t>
            </w:r>
          </w:p>
          <w:p w:rsidR="00B248B2" w:rsidRDefault="00B248B2" w:rsidP="00B248B2">
            <w:pPr>
              <w:pStyle w:val="Akapitzlist"/>
              <w:numPr>
                <w:ilvl w:val="0"/>
                <w:numId w:val="10"/>
              </w:numPr>
              <w:jc w:val="both"/>
              <w:rPr>
                <w:i/>
              </w:rPr>
            </w:pPr>
            <w:r w:rsidRPr="00C04F4F">
              <w:rPr>
                <w:i/>
              </w:rPr>
              <w:t xml:space="preserve">Ujęcie operacji w dokumentach strategicznych: inwestycja jest  przewidziana w aktualnie obowiązujących dokumentach strategicznych na poziomie miejscowości, w której ma być zlokalizowana np. Plany Odnowy Wsi, Strategie Sołeckie, Plany Rewitalizacji lub innych dokumentach planistycznych gminy.  W przypadku miast może </w:t>
            </w:r>
            <w:r w:rsidRPr="00C04F4F">
              <w:rPr>
                <w:i/>
              </w:rPr>
              <w:lastRenderedPageBreak/>
              <w:t>to być strategia miasta. Kryterium weryfikowane będzie w oparciu o wyciąg z dokumentu strategicznego.</w:t>
            </w:r>
          </w:p>
          <w:p w:rsidR="00B248B2" w:rsidRPr="00C04F4F" w:rsidRDefault="00B248B2" w:rsidP="00B248B2">
            <w:pPr>
              <w:pStyle w:val="Akapitzlist"/>
              <w:numPr>
                <w:ilvl w:val="0"/>
                <w:numId w:val="10"/>
              </w:numPr>
              <w:jc w:val="both"/>
              <w:rPr>
                <w:i/>
              </w:rPr>
            </w:pPr>
            <w:r>
              <w:rPr>
                <w:i/>
              </w:rPr>
              <w:t>Wnioskodawca rozpoznał liczbę potencjalnych użytkowników inkubatora przetwórstwa oraz podpisał wstępne umowy dotyczące korzystania z inkuba</w:t>
            </w:r>
            <w:r w:rsidR="00A55610">
              <w:rPr>
                <w:i/>
              </w:rPr>
              <w:t>tora przez zainte</w:t>
            </w:r>
            <w:r w:rsidR="000B6AD9">
              <w:rPr>
                <w:i/>
              </w:rPr>
              <w:t xml:space="preserve">resowane osoby (co najmniej 10), które </w:t>
            </w:r>
            <w:r w:rsidR="007B0B38">
              <w:rPr>
                <w:i/>
              </w:rPr>
              <w:t>będą korzystać z tej infrastruktury.</w:t>
            </w:r>
          </w:p>
          <w:p w:rsidR="00B248B2" w:rsidRPr="00C04F4F" w:rsidRDefault="00B248B2" w:rsidP="00B248B2">
            <w:pPr>
              <w:pStyle w:val="Akapitzlist"/>
              <w:ind w:left="142"/>
              <w:jc w:val="both"/>
              <w:rPr>
                <w:rFonts w:cs="Tahoma"/>
                <w:i/>
              </w:rPr>
            </w:pPr>
            <w:r w:rsidRPr="00C04F4F">
              <w:rPr>
                <w:i/>
              </w:rPr>
              <w:t xml:space="preserve">Kryterium będzie weryfikowane na podstawie zapisów w dokumentach aplikacyjnych, popartych załączonymi dokumentami.  </w:t>
            </w:r>
            <w:r w:rsidRPr="00C04F4F">
              <w:rPr>
                <w:rFonts w:cs="Tahoma"/>
                <w:i/>
              </w:rPr>
              <w:t>Bez załączenia konkretnych dokumentów i dowodów na spełnienie kryterium – punkty nie będą przyznawane. Maksymalna</w:t>
            </w:r>
            <w:r w:rsidR="007B0B38">
              <w:rPr>
                <w:rFonts w:cs="Tahoma"/>
                <w:i/>
              </w:rPr>
              <w:t xml:space="preserve"> liczba punktów w kryterium – 15</w:t>
            </w:r>
            <w:r w:rsidRPr="00C04F4F">
              <w:rPr>
                <w:rFonts w:cs="Tahoma"/>
                <w:i/>
              </w:rPr>
              <w:t>.</w:t>
            </w:r>
          </w:p>
        </w:tc>
        <w:tc>
          <w:tcPr>
            <w:tcW w:w="1019" w:type="pct"/>
            <w:shd w:val="clear" w:color="auto" w:fill="auto"/>
          </w:tcPr>
          <w:p w:rsidR="00B248B2" w:rsidRPr="00C04F4F" w:rsidRDefault="000B6AD9" w:rsidP="00B248B2">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lastRenderedPageBreak/>
              <w:t>15</w:t>
            </w:r>
            <w:r w:rsidR="00B248B2" w:rsidRPr="00C04F4F">
              <w:rPr>
                <w:rFonts w:asciiTheme="minorHAnsi" w:hAnsiTheme="minorHAnsi" w:cs="Tahoma"/>
                <w:sz w:val="22"/>
                <w:szCs w:val="22"/>
                <w:lang w:eastAsia="ar-SA"/>
              </w:rPr>
              <w:t xml:space="preserve"> –</w:t>
            </w:r>
            <w:r w:rsidR="00B248B2" w:rsidRPr="00C04F4F">
              <w:rPr>
                <w:rFonts w:asciiTheme="minorHAnsi" w:hAnsiTheme="minorHAnsi"/>
                <w:sz w:val="22"/>
                <w:szCs w:val="22"/>
              </w:rPr>
              <w:t xml:space="preserve"> operacja jest zgo</w:t>
            </w:r>
            <w:r>
              <w:rPr>
                <w:rFonts w:asciiTheme="minorHAnsi" w:hAnsiTheme="minorHAnsi"/>
                <w:sz w:val="22"/>
                <w:szCs w:val="22"/>
              </w:rPr>
              <w:t>dna z potrzebami mieszkańców w 3</w:t>
            </w:r>
            <w:r w:rsidR="00B248B2" w:rsidRPr="00C04F4F">
              <w:rPr>
                <w:rFonts w:asciiTheme="minorHAnsi" w:hAnsiTheme="minorHAnsi"/>
                <w:sz w:val="22"/>
                <w:szCs w:val="22"/>
              </w:rPr>
              <w:t>-ch aspektach</w:t>
            </w:r>
          </w:p>
          <w:p w:rsidR="00B248B2" w:rsidRDefault="000B6AD9" w:rsidP="00B248B2">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10 - operacja jest zgodna w 2-óch aspektach z potrzebami mieszkańców</w:t>
            </w:r>
            <w:r w:rsidR="00B248B2" w:rsidRPr="00C04F4F">
              <w:rPr>
                <w:rFonts w:asciiTheme="minorHAnsi" w:hAnsiTheme="minorHAnsi" w:cs="Tahoma"/>
                <w:sz w:val="22"/>
                <w:szCs w:val="22"/>
                <w:lang w:eastAsia="ar-SA"/>
              </w:rPr>
              <w:t xml:space="preserve"> w 1-nym aspekcie</w:t>
            </w:r>
          </w:p>
          <w:p w:rsidR="005B5E5C" w:rsidRPr="00C04F4F" w:rsidRDefault="005B5E5C" w:rsidP="00B248B2">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 xml:space="preserve">5- </w:t>
            </w:r>
            <w:r w:rsidRPr="00C04F4F">
              <w:rPr>
                <w:rFonts w:asciiTheme="minorHAnsi" w:hAnsiTheme="minorHAnsi"/>
                <w:sz w:val="22"/>
                <w:szCs w:val="22"/>
              </w:rPr>
              <w:t>operacja jest zgo</w:t>
            </w:r>
            <w:r>
              <w:rPr>
                <w:rFonts w:asciiTheme="minorHAnsi" w:hAnsiTheme="minorHAnsi"/>
                <w:sz w:val="22"/>
                <w:szCs w:val="22"/>
              </w:rPr>
              <w:t>dna z potrzebami mieszkańców w 1 aspekcie</w:t>
            </w:r>
          </w:p>
          <w:p w:rsidR="00B248B2" w:rsidRPr="00C04F4F" w:rsidRDefault="00B248B2" w:rsidP="000B6AD9">
            <w:pPr>
              <w:snapToGrid w:val="0"/>
              <w:spacing w:beforeLines="40" w:before="96" w:afterLines="40" w:after="96"/>
              <w:ind w:left="0"/>
              <w:rPr>
                <w:rFonts w:asciiTheme="minorHAnsi" w:hAnsiTheme="minorHAnsi" w:cs="Tahoma"/>
                <w:sz w:val="22"/>
                <w:szCs w:val="22"/>
                <w:lang w:eastAsia="ar-SA"/>
              </w:rPr>
            </w:pPr>
            <w:r w:rsidRPr="00C04F4F">
              <w:rPr>
                <w:rFonts w:asciiTheme="minorHAnsi" w:hAnsiTheme="minorHAnsi" w:cs="Tahoma"/>
                <w:sz w:val="22"/>
                <w:szCs w:val="22"/>
                <w:lang w:eastAsia="ar-SA"/>
              </w:rPr>
              <w:t>0 – operacja nie jest zgodna</w:t>
            </w:r>
            <w:r w:rsidR="000B6AD9">
              <w:rPr>
                <w:rFonts w:asciiTheme="minorHAnsi" w:hAnsiTheme="minorHAnsi" w:cs="Tahoma"/>
                <w:sz w:val="22"/>
                <w:szCs w:val="22"/>
                <w:lang w:eastAsia="ar-SA"/>
              </w:rPr>
              <w:t xml:space="preserve"> z potrzebami mieszkańców</w:t>
            </w:r>
            <w:r w:rsidRPr="00C04F4F">
              <w:rPr>
                <w:rFonts w:asciiTheme="minorHAnsi" w:hAnsiTheme="minorHAnsi" w:cs="Tahoma"/>
                <w:sz w:val="22"/>
                <w:szCs w:val="22"/>
                <w:lang w:eastAsia="ar-SA"/>
              </w:rPr>
              <w:t xml:space="preserve"> w żadnym aspekcie</w:t>
            </w:r>
          </w:p>
        </w:tc>
      </w:tr>
      <w:tr w:rsidR="00B248B2" w:rsidRPr="002B5DA3" w:rsidTr="002B5DA3">
        <w:trPr>
          <w:trHeight w:val="833"/>
        </w:trPr>
        <w:tc>
          <w:tcPr>
            <w:tcW w:w="246" w:type="pct"/>
            <w:shd w:val="clear" w:color="auto" w:fill="auto"/>
            <w:vAlign w:val="center"/>
          </w:tcPr>
          <w:p w:rsidR="00B248B2" w:rsidRPr="00C04F4F" w:rsidRDefault="00B248B2" w:rsidP="00B248B2">
            <w:pPr>
              <w:snapToGrid w:val="0"/>
              <w:spacing w:beforeLines="40" w:before="96" w:afterLines="40" w:after="96"/>
              <w:ind w:left="0"/>
              <w:rPr>
                <w:rFonts w:asciiTheme="minorHAnsi" w:hAnsiTheme="minorHAnsi" w:cs="Tahoma"/>
                <w:sz w:val="22"/>
                <w:szCs w:val="22"/>
                <w:lang w:eastAsia="ar-SA"/>
              </w:rPr>
            </w:pPr>
            <w:r>
              <w:rPr>
                <w:rFonts w:asciiTheme="minorHAnsi" w:hAnsiTheme="minorHAnsi" w:cs="Tahoma"/>
                <w:sz w:val="22"/>
                <w:szCs w:val="22"/>
                <w:lang w:eastAsia="ar-SA"/>
              </w:rPr>
              <w:t>11</w:t>
            </w:r>
            <w:r w:rsidRPr="00C04F4F">
              <w:rPr>
                <w:rFonts w:asciiTheme="minorHAnsi" w:hAnsiTheme="minorHAnsi" w:cs="Tahoma"/>
                <w:sz w:val="22"/>
                <w:szCs w:val="22"/>
                <w:lang w:eastAsia="ar-SA"/>
              </w:rPr>
              <w:t>.</w:t>
            </w:r>
          </w:p>
        </w:tc>
        <w:tc>
          <w:tcPr>
            <w:tcW w:w="757" w:type="pct"/>
            <w:shd w:val="clear" w:color="auto" w:fill="auto"/>
            <w:vAlign w:val="center"/>
          </w:tcPr>
          <w:p w:rsidR="00B248B2" w:rsidRPr="00C04F4F" w:rsidRDefault="00B248B2" w:rsidP="00B248B2">
            <w:pPr>
              <w:snapToGrid w:val="0"/>
              <w:spacing w:beforeLines="40" w:before="96" w:afterLines="40" w:after="96"/>
              <w:ind w:left="0"/>
              <w:rPr>
                <w:rFonts w:asciiTheme="minorHAnsi" w:hAnsiTheme="minorHAnsi" w:cstheme="minorHAnsi"/>
                <w:b/>
                <w:sz w:val="20"/>
                <w:szCs w:val="20"/>
                <w:lang w:eastAsia="ar-SA"/>
              </w:rPr>
            </w:pPr>
            <w:r w:rsidRPr="00C04F4F">
              <w:rPr>
                <w:rFonts w:asciiTheme="minorHAnsi" w:hAnsiTheme="minorHAnsi" w:cstheme="minorHAnsi"/>
                <w:b/>
                <w:sz w:val="20"/>
                <w:szCs w:val="20"/>
                <w:lang w:eastAsia="ar-SA"/>
              </w:rPr>
              <w:t>Gotowość wniosku do realizacji oraz kompletność złożonych dokumentów</w:t>
            </w:r>
          </w:p>
          <w:p w:rsidR="00B248B2" w:rsidRPr="00C04F4F" w:rsidRDefault="00B248B2" w:rsidP="00B248B2">
            <w:pPr>
              <w:snapToGrid w:val="0"/>
              <w:spacing w:beforeLines="40" w:before="96" w:afterLines="40" w:after="96"/>
              <w:ind w:left="0"/>
              <w:rPr>
                <w:rFonts w:asciiTheme="minorHAnsi" w:hAnsiTheme="minorHAnsi" w:cstheme="minorHAnsi"/>
                <w:b/>
                <w:sz w:val="20"/>
                <w:szCs w:val="20"/>
                <w:lang w:eastAsia="ar-SA"/>
              </w:rPr>
            </w:pPr>
          </w:p>
        </w:tc>
        <w:tc>
          <w:tcPr>
            <w:tcW w:w="2978" w:type="pct"/>
            <w:shd w:val="clear" w:color="auto" w:fill="auto"/>
            <w:vAlign w:val="center"/>
          </w:tcPr>
          <w:p w:rsidR="00B248B2" w:rsidRPr="00C04F4F" w:rsidRDefault="00B248B2" w:rsidP="00B248B2">
            <w:pPr>
              <w:widowControl/>
              <w:suppressAutoHyphens w:val="0"/>
              <w:spacing w:before="0" w:after="200" w:line="276" w:lineRule="auto"/>
              <w:ind w:left="0" w:right="0"/>
              <w:contextualSpacing/>
              <w:rPr>
                <w:rFonts w:asciiTheme="minorHAnsi" w:eastAsia="Calibri" w:hAnsiTheme="minorHAnsi" w:cstheme="minorHAnsi"/>
                <w:sz w:val="22"/>
                <w:szCs w:val="22"/>
              </w:rPr>
            </w:pPr>
            <w:r w:rsidRPr="00C04F4F">
              <w:rPr>
                <w:rFonts w:asciiTheme="minorHAnsi" w:eastAsia="Calibri" w:hAnsiTheme="minorHAnsi" w:cstheme="minorHAnsi"/>
                <w:sz w:val="22"/>
                <w:szCs w:val="22"/>
              </w:rPr>
              <w:t>Wnioskodawca złożył wniosek oraz dokumentację, które potwierdzają gotowość operacji do realizacji.</w:t>
            </w:r>
          </w:p>
          <w:p w:rsidR="00B248B2" w:rsidRPr="00C04F4F" w:rsidRDefault="00B248B2" w:rsidP="00B248B2">
            <w:pPr>
              <w:widowControl/>
              <w:suppressAutoHyphens w:val="0"/>
              <w:spacing w:before="0" w:after="200" w:line="276" w:lineRule="auto"/>
              <w:ind w:left="0" w:right="0"/>
              <w:contextualSpacing/>
              <w:rPr>
                <w:rFonts w:asciiTheme="minorHAnsi" w:eastAsia="Calibri" w:hAnsiTheme="minorHAnsi" w:cstheme="minorHAnsi"/>
                <w:sz w:val="22"/>
                <w:szCs w:val="22"/>
              </w:rPr>
            </w:pPr>
            <w:r w:rsidRPr="00C04F4F">
              <w:rPr>
                <w:rFonts w:asciiTheme="minorHAnsi" w:eastAsia="Calibri" w:hAnsiTheme="minorHAnsi" w:cstheme="minorHAnsi"/>
                <w:sz w:val="22"/>
                <w:szCs w:val="22"/>
              </w:rPr>
              <w:t>1. W przypadku projektów obejmujących roboty budowlane:</w:t>
            </w:r>
          </w:p>
          <w:p w:rsidR="00B248B2" w:rsidRPr="00C04F4F" w:rsidRDefault="00B248B2" w:rsidP="00B248B2">
            <w:pPr>
              <w:pStyle w:val="Akapitzlist"/>
              <w:numPr>
                <w:ilvl w:val="0"/>
                <w:numId w:val="1"/>
              </w:numPr>
              <w:rPr>
                <w:rFonts w:eastAsia="Calibri" w:cstheme="minorHAnsi"/>
              </w:rPr>
            </w:pPr>
            <w:r w:rsidRPr="00C04F4F">
              <w:rPr>
                <w:rFonts w:eastAsia="Calibri" w:cstheme="minorHAnsi"/>
              </w:rPr>
              <w:t xml:space="preserve">Dołączono wymagane ostateczne pozwolenia na budowę i/lub zgłoszenie wraz z brakiem sprzeciwu lub dokument potwierdzający, że nie jest wymagane zgłoszenie: </w:t>
            </w:r>
          </w:p>
          <w:p w:rsidR="00B248B2" w:rsidRPr="00C04F4F" w:rsidRDefault="00B248B2" w:rsidP="00B248B2">
            <w:pPr>
              <w:pStyle w:val="Akapitzlist"/>
              <w:rPr>
                <w:rFonts w:eastAsia="Calibri" w:cstheme="minorHAnsi"/>
              </w:rPr>
            </w:pPr>
            <w:r w:rsidRPr="00C04F4F">
              <w:rPr>
                <w:rFonts w:eastAsia="Calibri" w:cstheme="minorHAnsi"/>
              </w:rPr>
              <w:t>- budowy i robót budowlanych niewymagających pozwolenia na budowę i/lub</w:t>
            </w:r>
          </w:p>
          <w:p w:rsidR="00B248B2" w:rsidRPr="00C04F4F" w:rsidRDefault="00B248B2" w:rsidP="00B248B2">
            <w:pPr>
              <w:pStyle w:val="Akapitzlist"/>
              <w:rPr>
                <w:rFonts w:eastAsia="Calibri" w:cstheme="minorHAnsi"/>
              </w:rPr>
            </w:pPr>
            <w:r w:rsidRPr="00C04F4F">
              <w:rPr>
                <w:rFonts w:eastAsia="Calibri" w:cstheme="minorHAnsi"/>
              </w:rPr>
              <w:t>- zmiany sposobu użytkowania obiektu budowlanego lub jego części</w:t>
            </w:r>
          </w:p>
          <w:p w:rsidR="00B248B2" w:rsidRPr="00C04F4F" w:rsidRDefault="00B248B2" w:rsidP="00B248B2">
            <w:pPr>
              <w:pStyle w:val="Akapitzlist"/>
              <w:numPr>
                <w:ilvl w:val="0"/>
                <w:numId w:val="1"/>
              </w:numPr>
              <w:rPr>
                <w:rFonts w:eastAsia="Calibri" w:cstheme="minorHAnsi"/>
              </w:rPr>
            </w:pPr>
            <w:r w:rsidRPr="00C04F4F">
              <w:rPr>
                <w:rFonts w:eastAsia="Calibri" w:cstheme="minorHAnsi"/>
              </w:rPr>
              <w:t>Dołączono wniosek o wydanie pozwolenia lub zgłoszenia budowy i robót budowlanych nie wymagających pozwolenia na budowę lub zgłoszenia zmiany sposobu użytkowania obiektu budowlanego lub jego części.</w:t>
            </w:r>
          </w:p>
          <w:p w:rsidR="00B248B2" w:rsidRPr="00C04F4F" w:rsidRDefault="00B248B2" w:rsidP="00B248B2">
            <w:pPr>
              <w:ind w:left="0"/>
              <w:rPr>
                <w:rFonts w:asciiTheme="minorHAnsi" w:eastAsia="Calibri" w:hAnsiTheme="minorHAnsi" w:cstheme="minorHAnsi"/>
                <w:sz w:val="22"/>
                <w:szCs w:val="22"/>
              </w:rPr>
            </w:pPr>
            <w:r w:rsidRPr="00C04F4F">
              <w:rPr>
                <w:rFonts w:asciiTheme="minorHAnsi" w:eastAsia="Calibri" w:hAnsiTheme="minorHAnsi" w:cstheme="minorHAnsi"/>
                <w:sz w:val="22"/>
                <w:szCs w:val="22"/>
              </w:rPr>
              <w:t>2. Dokumenty o których mowa w kryterium powinny być wydane przez uprawniony organ.</w:t>
            </w:r>
          </w:p>
          <w:p w:rsidR="00B248B2" w:rsidRPr="00C04F4F" w:rsidRDefault="00B248B2" w:rsidP="00B248B2">
            <w:pPr>
              <w:ind w:left="0"/>
              <w:rPr>
                <w:rFonts w:asciiTheme="minorHAnsi" w:eastAsia="Calibri" w:hAnsiTheme="minorHAnsi" w:cstheme="minorHAnsi"/>
                <w:sz w:val="22"/>
                <w:szCs w:val="22"/>
              </w:rPr>
            </w:pPr>
            <w:r w:rsidRPr="00C04F4F">
              <w:rPr>
                <w:rFonts w:asciiTheme="minorHAnsi" w:eastAsia="Calibri" w:hAnsiTheme="minorHAnsi" w:cstheme="minorHAnsi"/>
                <w:sz w:val="22"/>
                <w:szCs w:val="22"/>
              </w:rPr>
              <w:t>3. W przypadku projektów nie obejmujących robót budowlanych operacja będzie oceniana na podstawie innych obowiązkowych i wymaganych dokumentów.</w:t>
            </w:r>
          </w:p>
          <w:p w:rsidR="00B248B2" w:rsidRPr="00C04F4F" w:rsidRDefault="00B248B2" w:rsidP="00B248B2">
            <w:pPr>
              <w:snapToGrid w:val="0"/>
              <w:spacing w:beforeLines="40" w:before="96" w:afterLines="40" w:after="96"/>
              <w:ind w:left="0"/>
              <w:rPr>
                <w:rFonts w:asciiTheme="minorHAnsi" w:hAnsiTheme="minorHAnsi" w:cstheme="minorHAnsi"/>
                <w:sz w:val="22"/>
                <w:szCs w:val="22"/>
              </w:rPr>
            </w:pPr>
            <w:r w:rsidRPr="00C04F4F">
              <w:rPr>
                <w:rFonts w:asciiTheme="minorHAnsi" w:hAnsiTheme="minorHAnsi" w:cstheme="minorHAnsi"/>
                <w:b/>
                <w:sz w:val="22"/>
                <w:szCs w:val="22"/>
              </w:rPr>
              <w:t>3 pkt.</w:t>
            </w:r>
            <w:r w:rsidRPr="00C04F4F">
              <w:rPr>
                <w:rFonts w:asciiTheme="minorHAnsi" w:hAnsiTheme="minorHAnsi" w:cstheme="minorHAnsi"/>
                <w:sz w:val="22"/>
                <w:szCs w:val="22"/>
              </w:rPr>
              <w:t xml:space="preserve"> - dołączono wymagane ostateczne pozwolenia na budowę i/lub zgłoszenie wraz z brakiem sprzeciwu lub dokument potwierdzający, że nie jest wymagane zgłoszenie: </w:t>
            </w:r>
          </w:p>
          <w:p w:rsidR="00B248B2" w:rsidRPr="00C04F4F" w:rsidRDefault="00B248B2" w:rsidP="00B248B2">
            <w:pPr>
              <w:snapToGrid w:val="0"/>
              <w:spacing w:beforeLines="40" w:before="96" w:afterLines="40" w:after="96"/>
              <w:ind w:left="0"/>
              <w:rPr>
                <w:rFonts w:asciiTheme="minorHAnsi" w:hAnsiTheme="minorHAnsi" w:cstheme="minorHAnsi"/>
                <w:sz w:val="22"/>
                <w:szCs w:val="22"/>
              </w:rPr>
            </w:pPr>
            <w:r w:rsidRPr="00C04F4F">
              <w:rPr>
                <w:rFonts w:asciiTheme="minorHAnsi" w:hAnsiTheme="minorHAnsi" w:cstheme="minorHAnsi"/>
                <w:sz w:val="22"/>
                <w:szCs w:val="22"/>
              </w:rPr>
              <w:t>- budowy i robót budowlanych niewymagających pozwolenia na budowę i/lub</w:t>
            </w:r>
          </w:p>
          <w:p w:rsidR="00B248B2" w:rsidRPr="00C04F4F" w:rsidRDefault="00B248B2" w:rsidP="00B248B2">
            <w:pPr>
              <w:snapToGrid w:val="0"/>
              <w:spacing w:beforeLines="40" w:before="96" w:afterLines="40" w:after="96"/>
              <w:ind w:left="0"/>
              <w:rPr>
                <w:rFonts w:asciiTheme="minorHAnsi" w:hAnsiTheme="minorHAnsi" w:cstheme="minorHAnsi"/>
                <w:sz w:val="22"/>
                <w:szCs w:val="22"/>
              </w:rPr>
            </w:pPr>
            <w:r w:rsidRPr="00C04F4F">
              <w:rPr>
                <w:rFonts w:asciiTheme="minorHAnsi" w:hAnsiTheme="minorHAnsi" w:cstheme="minorHAnsi"/>
                <w:sz w:val="22"/>
                <w:szCs w:val="22"/>
              </w:rPr>
              <w:t xml:space="preserve">- zmiany sposobu użytkowania obiektu budowlanego lub jego części lub realizacja zadania nie wymaga uzyskania pozwoleń, decyzji oraz innych dokumentów wydanych przez uprawniony </w:t>
            </w:r>
            <w:r w:rsidRPr="00C04F4F">
              <w:rPr>
                <w:rFonts w:asciiTheme="minorHAnsi" w:hAnsiTheme="minorHAnsi" w:cstheme="minorHAnsi"/>
                <w:sz w:val="22"/>
                <w:szCs w:val="22"/>
              </w:rPr>
              <w:lastRenderedPageBreak/>
              <w:t>organ</w:t>
            </w:r>
          </w:p>
          <w:p w:rsidR="00B248B2" w:rsidRPr="00C04F4F" w:rsidRDefault="00B248B2" w:rsidP="00B248B2">
            <w:pPr>
              <w:snapToGrid w:val="0"/>
              <w:spacing w:beforeLines="40" w:before="96" w:afterLines="40" w:after="96"/>
              <w:ind w:left="0"/>
              <w:rPr>
                <w:rFonts w:asciiTheme="minorHAnsi" w:hAnsiTheme="minorHAnsi" w:cstheme="minorHAnsi"/>
                <w:b/>
                <w:sz w:val="22"/>
                <w:szCs w:val="22"/>
              </w:rPr>
            </w:pPr>
            <w:r w:rsidRPr="00C04F4F">
              <w:rPr>
                <w:rFonts w:asciiTheme="minorHAnsi" w:hAnsiTheme="minorHAnsi" w:cstheme="minorHAnsi"/>
                <w:b/>
                <w:sz w:val="22"/>
                <w:szCs w:val="22"/>
              </w:rPr>
              <w:t xml:space="preserve">2 pkt - </w:t>
            </w:r>
            <w:r w:rsidRPr="00C04F4F">
              <w:rPr>
                <w:rFonts w:asciiTheme="minorHAnsi" w:hAnsiTheme="minorHAnsi" w:cstheme="minorHAnsi"/>
                <w:sz w:val="22"/>
                <w:szCs w:val="22"/>
              </w:rPr>
              <w:t>dołączono wniosek o wydanie pozwolenia lub zgłoszenia budowy i robót budowalnych nie wymagających pozwolenia na budowę lub zgłoszenia zmiany sposobu użytkowania obiektu budowlanego lub jego części.</w:t>
            </w:r>
          </w:p>
          <w:p w:rsidR="00B248B2" w:rsidRPr="00C04F4F" w:rsidRDefault="00B248B2" w:rsidP="00B248B2">
            <w:pPr>
              <w:spacing w:before="0" w:after="0"/>
              <w:ind w:left="0"/>
              <w:contextualSpacing/>
              <w:rPr>
                <w:rFonts w:asciiTheme="minorHAnsi" w:hAnsiTheme="minorHAnsi" w:cstheme="minorHAnsi"/>
                <w:i/>
                <w:sz w:val="22"/>
                <w:szCs w:val="22"/>
              </w:rPr>
            </w:pPr>
            <w:r w:rsidRPr="00C04F4F">
              <w:rPr>
                <w:rFonts w:asciiTheme="minorHAnsi" w:hAnsiTheme="minorHAnsi" w:cstheme="minorHAnsi"/>
                <w:i/>
                <w:sz w:val="22"/>
                <w:szCs w:val="22"/>
              </w:rPr>
              <w:t>Kryterium weryfikowane będzie na podstawie załączonych dokumentów do wniosku i zapisów we wniosku.</w:t>
            </w:r>
          </w:p>
          <w:p w:rsidR="00B248B2" w:rsidRPr="00C04F4F" w:rsidRDefault="00B248B2" w:rsidP="00B248B2">
            <w:pPr>
              <w:pStyle w:val="Akapitzlist"/>
              <w:spacing w:after="0" w:line="240" w:lineRule="auto"/>
              <w:ind w:left="0"/>
              <w:rPr>
                <w:rFonts w:eastAsia="Tahoma" w:cstheme="minorHAnsi"/>
                <w:i/>
                <w:u w:val="single"/>
              </w:rPr>
            </w:pPr>
            <w:r w:rsidRPr="00C04F4F">
              <w:rPr>
                <w:rFonts w:eastAsia="Tahoma" w:cstheme="minorHAnsi"/>
                <w:i/>
                <w:u w:val="single"/>
              </w:rPr>
              <w:t>Maksymalna liczba punktów – 3.</w:t>
            </w:r>
          </w:p>
        </w:tc>
        <w:tc>
          <w:tcPr>
            <w:tcW w:w="1019" w:type="pct"/>
            <w:shd w:val="clear" w:color="auto" w:fill="auto"/>
          </w:tcPr>
          <w:p w:rsidR="00B248B2" w:rsidRPr="00C04F4F" w:rsidRDefault="00B248B2" w:rsidP="00B248B2">
            <w:pPr>
              <w:snapToGrid w:val="0"/>
              <w:spacing w:beforeLines="40" w:before="96" w:afterLines="40" w:after="96"/>
              <w:ind w:left="0"/>
              <w:rPr>
                <w:rFonts w:asciiTheme="minorHAnsi" w:hAnsiTheme="minorHAnsi" w:cstheme="minorHAnsi"/>
                <w:sz w:val="20"/>
                <w:szCs w:val="20"/>
              </w:rPr>
            </w:pPr>
            <w:r w:rsidRPr="00C04F4F">
              <w:rPr>
                <w:rFonts w:asciiTheme="minorHAnsi" w:hAnsiTheme="minorHAnsi" w:cstheme="minorHAnsi"/>
                <w:sz w:val="20"/>
                <w:szCs w:val="20"/>
              </w:rPr>
              <w:lastRenderedPageBreak/>
              <w:t xml:space="preserve">3 - dołączono wymagane ostateczne pozwolenia na budowę i/lub zgłoszenie wraz z brakiem sprzeciwu lub dokument potwierdzający, że nie jest wymagane zgłoszenie: </w:t>
            </w:r>
          </w:p>
          <w:p w:rsidR="00B248B2" w:rsidRPr="00C04F4F" w:rsidRDefault="00B248B2" w:rsidP="00B248B2">
            <w:pPr>
              <w:snapToGrid w:val="0"/>
              <w:spacing w:beforeLines="40" w:before="96" w:afterLines="40" w:after="96"/>
              <w:ind w:left="0"/>
              <w:rPr>
                <w:rFonts w:asciiTheme="minorHAnsi" w:hAnsiTheme="minorHAnsi" w:cstheme="minorHAnsi"/>
                <w:sz w:val="20"/>
                <w:szCs w:val="20"/>
              </w:rPr>
            </w:pPr>
            <w:r w:rsidRPr="00C04F4F">
              <w:rPr>
                <w:rFonts w:asciiTheme="minorHAnsi" w:hAnsiTheme="minorHAnsi" w:cstheme="minorHAnsi"/>
                <w:sz w:val="20"/>
                <w:szCs w:val="20"/>
              </w:rPr>
              <w:t>- budowy i robót budowlanych niewymagających pozwolenia na budowę i/lub</w:t>
            </w:r>
          </w:p>
          <w:p w:rsidR="00B248B2" w:rsidRPr="00C04F4F" w:rsidRDefault="00B248B2" w:rsidP="00B248B2">
            <w:pPr>
              <w:snapToGrid w:val="0"/>
              <w:spacing w:beforeLines="40" w:before="96" w:afterLines="40" w:after="96"/>
              <w:ind w:left="0"/>
              <w:rPr>
                <w:rFonts w:asciiTheme="minorHAnsi" w:hAnsiTheme="minorHAnsi" w:cstheme="minorHAnsi"/>
                <w:sz w:val="20"/>
                <w:szCs w:val="20"/>
              </w:rPr>
            </w:pPr>
            <w:r w:rsidRPr="00C04F4F">
              <w:rPr>
                <w:rFonts w:asciiTheme="minorHAnsi" w:hAnsiTheme="minorHAnsi" w:cstheme="minorHAnsi"/>
                <w:sz w:val="20"/>
                <w:szCs w:val="20"/>
              </w:rPr>
              <w:t>- zmiany sposobu użytkowania obiektu budowlanego lub jego części</w:t>
            </w:r>
          </w:p>
          <w:p w:rsidR="00B248B2" w:rsidRPr="00C04F4F" w:rsidRDefault="00B248B2" w:rsidP="00B248B2">
            <w:pPr>
              <w:snapToGrid w:val="0"/>
              <w:spacing w:beforeLines="40" w:before="96" w:afterLines="40" w:after="96"/>
              <w:ind w:left="0"/>
              <w:rPr>
                <w:rFonts w:asciiTheme="minorHAnsi" w:hAnsiTheme="minorHAnsi" w:cstheme="minorHAnsi"/>
                <w:sz w:val="20"/>
                <w:szCs w:val="20"/>
              </w:rPr>
            </w:pPr>
            <w:r w:rsidRPr="00C04F4F">
              <w:rPr>
                <w:rFonts w:asciiTheme="minorHAnsi" w:hAnsiTheme="minorHAnsi" w:cstheme="minorHAnsi"/>
                <w:sz w:val="20"/>
                <w:szCs w:val="20"/>
              </w:rPr>
              <w:t>3 - Realizacja zadania nie wymaga uzyskania pozwoleń, decyzji oraz innych dokumentów wydanych przez uprawniony organ</w:t>
            </w:r>
          </w:p>
          <w:p w:rsidR="00B248B2" w:rsidRPr="00C04F4F" w:rsidRDefault="00B248B2" w:rsidP="00B248B2">
            <w:pPr>
              <w:snapToGrid w:val="0"/>
              <w:spacing w:beforeLines="40" w:before="96" w:afterLines="40" w:after="96"/>
              <w:ind w:left="0"/>
              <w:rPr>
                <w:rFonts w:asciiTheme="minorHAnsi" w:hAnsiTheme="minorHAnsi" w:cstheme="minorHAnsi"/>
                <w:sz w:val="20"/>
                <w:szCs w:val="20"/>
              </w:rPr>
            </w:pPr>
            <w:r w:rsidRPr="00C04F4F">
              <w:rPr>
                <w:rFonts w:asciiTheme="minorHAnsi" w:hAnsiTheme="minorHAnsi" w:cstheme="minorHAnsi"/>
                <w:sz w:val="20"/>
                <w:szCs w:val="20"/>
              </w:rPr>
              <w:t xml:space="preserve">2 - dołączono wniosek o wydanie pozwolenia lub zgłoszenia budowy i robót budowalnych nie wymagających pozwolenia na budowę lub </w:t>
            </w:r>
            <w:r w:rsidRPr="00C04F4F">
              <w:rPr>
                <w:rFonts w:asciiTheme="minorHAnsi" w:hAnsiTheme="minorHAnsi" w:cstheme="minorHAnsi"/>
                <w:sz w:val="20"/>
                <w:szCs w:val="20"/>
              </w:rPr>
              <w:lastRenderedPageBreak/>
              <w:t>zgłoszenia zmiany sposobu użytkowania obiektu budowlanego lub jego części.</w:t>
            </w:r>
          </w:p>
          <w:p w:rsidR="00B248B2" w:rsidRPr="00C04F4F" w:rsidRDefault="00B248B2" w:rsidP="00B248B2">
            <w:pPr>
              <w:snapToGrid w:val="0"/>
              <w:spacing w:beforeLines="40" w:before="96" w:afterLines="40" w:after="96"/>
              <w:rPr>
                <w:rFonts w:cs="Tahoma"/>
                <w:lang w:eastAsia="ar-SA"/>
              </w:rPr>
            </w:pPr>
            <w:r w:rsidRPr="00C04F4F">
              <w:rPr>
                <w:rFonts w:asciiTheme="minorHAnsi" w:hAnsiTheme="minorHAnsi" w:cstheme="minorHAnsi"/>
                <w:sz w:val="20"/>
                <w:szCs w:val="20"/>
              </w:rPr>
              <w:t>0 – nie spełnia powyższego.</w:t>
            </w:r>
          </w:p>
          <w:p w:rsidR="00B248B2" w:rsidRPr="00C04F4F" w:rsidRDefault="00B248B2" w:rsidP="00B248B2">
            <w:pPr>
              <w:snapToGrid w:val="0"/>
              <w:spacing w:beforeLines="40" w:before="96" w:afterLines="40" w:after="96"/>
              <w:rPr>
                <w:rFonts w:cs="Tahoma"/>
                <w:lang w:eastAsia="ar-SA"/>
              </w:rPr>
            </w:pPr>
          </w:p>
          <w:p w:rsidR="00B248B2" w:rsidRPr="00C04F4F" w:rsidRDefault="00B248B2" w:rsidP="00B248B2">
            <w:pPr>
              <w:snapToGrid w:val="0"/>
              <w:spacing w:beforeLines="40" w:before="96" w:afterLines="40" w:after="96"/>
              <w:rPr>
                <w:rFonts w:cs="Tahoma"/>
                <w:lang w:eastAsia="ar-SA"/>
              </w:rPr>
            </w:pPr>
          </w:p>
          <w:p w:rsidR="00B248B2" w:rsidRPr="00C04F4F" w:rsidRDefault="00B248B2" w:rsidP="00B248B2">
            <w:pPr>
              <w:snapToGrid w:val="0"/>
              <w:spacing w:beforeLines="40" w:before="96" w:afterLines="40" w:after="96"/>
              <w:rPr>
                <w:rFonts w:cs="Tahoma"/>
                <w:lang w:eastAsia="ar-SA"/>
              </w:rPr>
            </w:pPr>
          </w:p>
        </w:tc>
      </w:tr>
    </w:tbl>
    <w:p w:rsidR="007155A8" w:rsidRDefault="007155A8"/>
    <w:sectPr w:rsidR="007155A8" w:rsidSect="00FA13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A1E"/>
    <w:multiLevelType w:val="hybridMultilevel"/>
    <w:tmpl w:val="2AB60C4C"/>
    <w:lvl w:ilvl="0" w:tplc="C074C3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521791F"/>
    <w:multiLevelType w:val="hybridMultilevel"/>
    <w:tmpl w:val="DD56BAF2"/>
    <w:lvl w:ilvl="0" w:tplc="507E41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345222"/>
    <w:multiLevelType w:val="hybridMultilevel"/>
    <w:tmpl w:val="3F7CF9E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D36DE"/>
    <w:multiLevelType w:val="hybridMultilevel"/>
    <w:tmpl w:val="29C275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D7B1CDD"/>
    <w:multiLevelType w:val="hybridMultilevel"/>
    <w:tmpl w:val="FD3699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E426F2A"/>
    <w:multiLevelType w:val="hybridMultilevel"/>
    <w:tmpl w:val="25DCBA10"/>
    <w:lvl w:ilvl="0" w:tplc="71369ECA">
      <w:start w:val="1"/>
      <w:numFmt w:val="decimal"/>
      <w:lvlText w:val="%1)"/>
      <w:lvlJc w:val="left"/>
      <w:pPr>
        <w:ind w:left="806" w:hanging="360"/>
      </w:pPr>
      <w:rPr>
        <w:rFonts w:cstheme="minorBidi"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7" w15:restartNumberingAfterBreak="0">
    <w:nsid w:val="514A4409"/>
    <w:multiLevelType w:val="hybridMultilevel"/>
    <w:tmpl w:val="EF460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C15528"/>
    <w:multiLevelType w:val="hybridMultilevel"/>
    <w:tmpl w:val="6B946680"/>
    <w:lvl w:ilvl="0" w:tplc="04150011">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num w:numId="1">
    <w:abstractNumId w:val="8"/>
  </w:num>
  <w:num w:numId="2">
    <w:abstractNumId w:val="2"/>
  </w:num>
  <w:num w:numId="3">
    <w:abstractNumId w:val="5"/>
  </w:num>
  <w:num w:numId="4">
    <w:abstractNumId w:val="0"/>
  </w:num>
  <w:num w:numId="5">
    <w:abstractNumId w:val="6"/>
  </w:num>
  <w:num w:numId="6">
    <w:abstractNumId w:val="1"/>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5E"/>
    <w:rsid w:val="000B6AD9"/>
    <w:rsid w:val="00145CC1"/>
    <w:rsid w:val="002B5DA3"/>
    <w:rsid w:val="00356CE2"/>
    <w:rsid w:val="003E2337"/>
    <w:rsid w:val="00476513"/>
    <w:rsid w:val="005B5E5C"/>
    <w:rsid w:val="00704A5E"/>
    <w:rsid w:val="007155A8"/>
    <w:rsid w:val="007243CF"/>
    <w:rsid w:val="007B0B38"/>
    <w:rsid w:val="00924B68"/>
    <w:rsid w:val="00935545"/>
    <w:rsid w:val="009E5D8D"/>
    <w:rsid w:val="00A55610"/>
    <w:rsid w:val="00B248B2"/>
    <w:rsid w:val="00BA2FAB"/>
    <w:rsid w:val="00D37E1C"/>
    <w:rsid w:val="00DC1601"/>
    <w:rsid w:val="00E25779"/>
    <w:rsid w:val="00FA1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81D3A-3968-47CB-A043-CCFA1FAC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3F8"/>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3F8"/>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3012</Words>
  <Characters>18072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20</cp:revision>
  <dcterms:created xsi:type="dcterms:W3CDTF">2022-01-18T21:52:00Z</dcterms:created>
  <dcterms:modified xsi:type="dcterms:W3CDTF">2022-02-04T14:41:00Z</dcterms:modified>
</cp:coreProperties>
</file>