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9062"/>
      </w:tblGrid>
      <w:tr w:rsidR="00AA7363" w:rsidRPr="00AA7363" w:rsidTr="00AA7363">
        <w:trPr>
          <w:trHeight w:val="360"/>
        </w:trPr>
        <w:tc>
          <w:tcPr>
            <w:tcW w:w="12340" w:type="dxa"/>
            <w:vMerge w:val="restart"/>
            <w:hideMark/>
          </w:tcPr>
          <w:p w:rsidR="00AA7363" w:rsidRPr="00AA7363" w:rsidRDefault="00AA7363" w:rsidP="00AA7363">
            <w:pPr>
              <w:rPr>
                <w:b/>
                <w:bCs/>
              </w:rPr>
            </w:pPr>
            <w:r w:rsidRPr="00AA7363">
              <w:rPr>
                <w:b/>
                <w:bCs/>
              </w:rPr>
              <w:t xml:space="preserve">1. Opis procesu przygotowania LSR </w:t>
            </w:r>
            <w:r w:rsidRPr="00AA7363">
              <w:rPr>
                <w:b/>
                <w:bCs/>
              </w:rPr>
              <w:br/>
            </w:r>
            <w:r w:rsidRPr="00AA7363">
              <w:rPr>
                <w:i/>
                <w:iCs/>
              </w:rPr>
              <w:t>[Opis planu całego procesu przygotowania LSR, w tym wykorzystanie zróżnicowanych środków komunikacji, w tym elektronicznej]</w:t>
            </w:r>
          </w:p>
        </w:tc>
      </w:tr>
      <w:tr w:rsidR="00AA7363" w:rsidRPr="00AA7363" w:rsidTr="00AA7363">
        <w:trPr>
          <w:trHeight w:val="450"/>
        </w:trPr>
        <w:tc>
          <w:tcPr>
            <w:tcW w:w="12340" w:type="dxa"/>
            <w:vMerge/>
            <w:hideMark/>
          </w:tcPr>
          <w:p w:rsidR="00AA7363" w:rsidRPr="00AA7363" w:rsidRDefault="00AA7363">
            <w:pPr>
              <w:rPr>
                <w:b/>
                <w:bCs/>
              </w:rPr>
            </w:pPr>
          </w:p>
        </w:tc>
      </w:tr>
      <w:tr w:rsidR="00AA7363" w:rsidRPr="00AA7363" w:rsidTr="00AA7363">
        <w:trPr>
          <w:trHeight w:val="390"/>
        </w:trPr>
        <w:tc>
          <w:tcPr>
            <w:tcW w:w="12340" w:type="dxa"/>
            <w:vMerge w:val="restart"/>
            <w:hideMark/>
          </w:tcPr>
          <w:p w:rsidR="00AA7363" w:rsidRPr="00AA7363" w:rsidRDefault="00AA7363" w:rsidP="00AA7363">
            <w:r w:rsidRPr="00AA7363">
              <w:t xml:space="preserve">W procesie formułowania Lokalnej Strategii Rozwoju prowadzonym przez LGD Partnerstwo Ducha Gór będzie zapewniony udział lokalnych społeczności wszystkich gmin, sektorów, grup interesu, mieszkańców. Włączenie lokalnej społeczności będzie zapewnione na każdym kluczowym etapie: diagnozy partycypacyjnej, analizy mocnych i słabych stron, szans i zagrożeń, formułowania celów i poszukiwania sposobów ich realizacji. Na początku procesu zostaną zidentyfikowane grupy docelowe, lokalne środowiska i grupy interesów. Diagnoza partycypacyjna pozwoli na identyfikację zasobów (potencjału), zdefiniowanie potrzeb i problemów różnych interesariuszy i różnych obszarów. Zgromadzenie danych i poznanie opinii posłuży do analizy mocnych i słabych stron, szans i zagrożeń (SWOT) oraz sformułowania wniosków. Na tej podstawie będzie możliwe formułowanie celów i ustalanie ich hierarchii oraz zaprojektowania wskaźników realizacji LSR i sposobów monitorowania. Określenie rozwiązań i sposobów realizacji strategii pozwoli na wskazanie inicjatyw, zaprojektowanie przedsięwzięć i rodzajów działań. Spotkania poświęcone analizie potrzeb, problemów, uwarunkowań i formułowaniu celów zostaną przeprowadzone na obszarze każdej z gmin na obszarze LGD. Spotkania będą w szczególności ukierunkowane na zagadnienia dotyczące innowacyjności, cyfryzacji, środowiska i klimatu, zmian demograficznych ze szczególnym uwzględnieniem starzenia się społeczeństwa, wyludniania się obszaru planowanego do objęcia LSR (spadek liczby mieszkańców), grup interesów, grup wiekowych (np. młodzież i seniorzy) oraz włączania partnerskiego w realizacji LSR, polegającego zwłaszcza na wspólnej realizacji przedsięwzięć i projektów. Zostanie też uwzględniony kontekst wielopoziomowego rządzenia i równości szans. </w:t>
            </w:r>
            <w:r w:rsidRPr="00AA7363">
              <w:br/>
              <w:t>Etapy tworzenia nowej strategii to: 1. Powołanie zespołu sterującego, składającego się z członków zarządu oraz innych zaproszonych osób - ekspertów, osób aktywnie uczestniczących w życiu społeczno-gospodarczym. Jego zadaniem będzie ustalenie metod pracy, narzędzi, sposobów</w:t>
            </w:r>
            <w:bookmarkStart w:id="0" w:name="_GoBack"/>
            <w:bookmarkEnd w:id="0"/>
            <w:r w:rsidRPr="00AA7363">
              <w:t xml:space="preserve"> i zaplanowanie partycypacyjnego procesu formułowania LSR. Zespół będzie konsultował powstające części strategii, proponowane rodzaje badania, planowane metody działania, angażowanie innych ekspertów. Zespół zostanie powołany uchwałą zarządu LGD. 2. Gromadzenie danych i organizacja - do zadań organizacyjnych i zebrania danych będą zaangażowani pracownicy biura oraz eksperci - wyszukiwanie i gromadzenie informacji dot. terenu obejmującego LGD (m.in. dane GUS, Wojewódzkiego Konserwatora Przyrody, PUP, OPS, dane i rejestry gmin itd...).  Kwerenda (</w:t>
            </w:r>
            <w:proofErr w:type="spellStart"/>
            <w:r w:rsidRPr="00AA7363">
              <w:t>desk-research</w:t>
            </w:r>
            <w:proofErr w:type="spellEnd"/>
            <w:r w:rsidRPr="00AA7363">
              <w:t xml:space="preserve">) obejmie badanie danych wtórnych, pochodzących ze statystyk i danych publicznych oraz przegląd raportów i publikacji dotyczących przemian demograficznych, społeczno-gospodarczych, stanu środowiska, charakterystyki obszarów wiejskich itd. 3.Sondaż opinii oparty na przeprowadzeniu badań ilościowych i jakościowych. Badania ilościowe będą prowadzone poprzez ankietowanie w formie elektronicznej i papierowej w każdej możliwej formie (formularz gogle, dostępna ankieta do ściągnięcia na www.duchgor.org, w mediach społecznościowych, w formie papierowej dostępne w biurze LGD w Kowarach, gminach czy siedzibach członków LGD, poprzez wysyłkę mailową, poprzez punkty konsultacyjne w gminach partnerskich). Badania jakościowe w formie zogniskowanych wywiadów grupowych (Focus) będą prowadzone w jednorodnych grupach </w:t>
            </w:r>
            <w:proofErr w:type="spellStart"/>
            <w:r w:rsidRPr="00AA7363">
              <w:t>np</w:t>
            </w:r>
            <w:proofErr w:type="spellEnd"/>
            <w:r w:rsidRPr="00AA7363">
              <w:t xml:space="preserve">: przedsiębiorcy, organizacje pozarządowe, grupy </w:t>
            </w:r>
            <w:proofErr w:type="spellStart"/>
            <w:r w:rsidRPr="00AA7363">
              <w:t>defaworyzowane</w:t>
            </w:r>
            <w:proofErr w:type="spellEnd"/>
            <w:r w:rsidRPr="00AA7363">
              <w:t xml:space="preserve">, jednostki samorządu terytorialnego (urzędnicy, radni, sołtysi), publiczne instytucje działające na obszarze LGD oraz inne grupy np. młodzież i seniorzy. Badania będą dotyczyć identyfikacji problemów i potrzeb z punktu widzenia grup wspieranych w ramach LSR, poszukiwanie rozwiązań, wyznaczanie kierunków rozwoju. Wyniki badań będą wykorzystane do analizy SWOT, określenia celów i ich hierarchii, projektowania wskaźników ujętych w LSR oraz grup objętych wsparciem. 4.Konsultacje społeczne będą przeprowadzane w różnych formie warsztatów i spotkań otwartych – m.in. prowadzone metodami </w:t>
            </w:r>
            <w:proofErr w:type="spellStart"/>
            <w:r w:rsidRPr="00AA7363">
              <w:t>world</w:t>
            </w:r>
            <w:proofErr w:type="spellEnd"/>
            <w:r w:rsidRPr="00AA7363">
              <w:t xml:space="preserve"> café i open-</w:t>
            </w:r>
            <w:proofErr w:type="spellStart"/>
            <w:r w:rsidRPr="00AA7363">
              <w:t>space</w:t>
            </w:r>
            <w:proofErr w:type="spellEnd"/>
            <w:r w:rsidRPr="00AA7363">
              <w:t xml:space="preserve">. Indywidualne konsultacje z mieszkańcami będą przeprowadzane w każdej gminie w punkcie konsultacyjnym i w biurze LGD. Będzie możliwe zgłaszanie opinii poprzez stronę internetową LGD. Panel ekspertów z różnych sektorów, </w:t>
            </w:r>
            <w:r w:rsidRPr="00AA7363">
              <w:lastRenderedPageBreak/>
              <w:t xml:space="preserve">zaproszonych na różnych etapach procesu formułowania LSR, przedstawi uwagi, opinie i rekomendacje. Forum strategiczne otwarte dla mieszkańców będzie poświęcone strategicznym wyzwaniom, priorytetom i inicjatywom. Konferencja dot. wypracowanego LSR – prezentacja procesu i celów, przedsięwzięć w LSR pozwoli na pozyskanie końcowych uwag do projektu LSR i upublicznienia informacji o  zaangażowaniu mieszkańców na każdym etapie planowania, wdrażania, monitorowania, ewaluacji i aktualizacji strategii. 5.Podsumowanie efektów zaangażowania mieszkańców i interesariuszy będzie polegać na analizie wyników badań, opinii, opracowaniu zgłoszonych uwag, uzasadnieniu sposobu i zakresu ich uwzględnienia. Przyjęcie LSR nastąpi w formie uchwały walnego zebranie członków LGD. </w:t>
            </w:r>
            <w:r w:rsidRPr="00AA7363">
              <w:br/>
              <w:t xml:space="preserve">Cały proces tworzenia nowej strategii LSR 2021-2027, tj. komunikaty radiowe, prasowe, TV, wszystkie materiały drukowane (plakaty, zaproszenia, ulotki, pisma), strona www.duchgor.org (osobna zakładka), media społecznościowe </w:t>
            </w:r>
            <w:proofErr w:type="spellStart"/>
            <w:r w:rsidRPr="00AA7363">
              <w:t>itd</w:t>
            </w:r>
            <w:proofErr w:type="spellEnd"/>
            <w:r w:rsidRPr="00AA7363">
              <w:t xml:space="preserve">… o konsultacjach i  do konsultacji społecznych będą zawierały informacje o współfinansowaniu ze środków Europejskiego Funduszu Rolnego na rzecz Rozwoju Obszarów Wiejskich w ramach Programu Rozwoju Obszarów Wiejskich na lata 2021-2027, zgodnie z warunkami określonymi w Księdze wizualizacji znaku PROW.              </w:t>
            </w:r>
          </w:p>
        </w:tc>
      </w:tr>
      <w:tr w:rsidR="00AA7363" w:rsidRPr="00AA7363" w:rsidTr="00AA7363">
        <w:trPr>
          <w:trHeight w:val="884"/>
        </w:trPr>
        <w:tc>
          <w:tcPr>
            <w:tcW w:w="12340" w:type="dxa"/>
            <w:vMerge/>
            <w:hideMark/>
          </w:tcPr>
          <w:p w:rsidR="00AA7363" w:rsidRPr="00AA7363" w:rsidRDefault="00AA7363"/>
        </w:tc>
      </w:tr>
      <w:tr w:rsidR="00AA7363" w:rsidRPr="00AA7363" w:rsidTr="00AA7363">
        <w:trPr>
          <w:trHeight w:val="825"/>
        </w:trPr>
        <w:tc>
          <w:tcPr>
            <w:tcW w:w="12340" w:type="dxa"/>
            <w:vMerge/>
            <w:hideMark/>
          </w:tcPr>
          <w:p w:rsidR="00AA7363" w:rsidRPr="00AA7363" w:rsidRDefault="00AA7363"/>
        </w:tc>
      </w:tr>
      <w:tr w:rsidR="00AA7363" w:rsidRPr="00AA7363" w:rsidTr="00AA7363">
        <w:trPr>
          <w:trHeight w:val="556"/>
        </w:trPr>
        <w:tc>
          <w:tcPr>
            <w:tcW w:w="12340" w:type="dxa"/>
            <w:vMerge/>
            <w:hideMark/>
          </w:tcPr>
          <w:p w:rsidR="00AA7363" w:rsidRPr="00AA7363" w:rsidRDefault="00AA7363"/>
        </w:tc>
      </w:tr>
      <w:tr w:rsidR="00AA7363" w:rsidRPr="00AA7363" w:rsidTr="00AA7363">
        <w:trPr>
          <w:trHeight w:val="632"/>
        </w:trPr>
        <w:tc>
          <w:tcPr>
            <w:tcW w:w="12340" w:type="dxa"/>
            <w:vMerge/>
            <w:hideMark/>
          </w:tcPr>
          <w:p w:rsidR="00AA7363" w:rsidRPr="00AA7363" w:rsidRDefault="00AA7363"/>
        </w:tc>
      </w:tr>
      <w:tr w:rsidR="00AA7363" w:rsidRPr="00AA7363" w:rsidTr="00AA7363">
        <w:trPr>
          <w:trHeight w:val="524"/>
        </w:trPr>
        <w:tc>
          <w:tcPr>
            <w:tcW w:w="12340" w:type="dxa"/>
            <w:vMerge/>
            <w:hideMark/>
          </w:tcPr>
          <w:p w:rsidR="00AA7363" w:rsidRPr="00AA7363" w:rsidRDefault="00AA7363"/>
        </w:tc>
      </w:tr>
      <w:tr w:rsidR="00AA7363" w:rsidRPr="00AA7363" w:rsidTr="00AA7363">
        <w:trPr>
          <w:trHeight w:val="855"/>
        </w:trPr>
        <w:tc>
          <w:tcPr>
            <w:tcW w:w="12340" w:type="dxa"/>
            <w:vMerge/>
            <w:hideMark/>
          </w:tcPr>
          <w:p w:rsidR="00AA7363" w:rsidRPr="00AA7363" w:rsidRDefault="00AA7363"/>
        </w:tc>
      </w:tr>
      <w:tr w:rsidR="00AA7363" w:rsidRPr="00AA7363" w:rsidTr="00AA7363">
        <w:trPr>
          <w:trHeight w:val="450"/>
        </w:trPr>
        <w:tc>
          <w:tcPr>
            <w:tcW w:w="12340" w:type="dxa"/>
            <w:vMerge/>
            <w:hideMark/>
          </w:tcPr>
          <w:p w:rsidR="00AA7363" w:rsidRPr="00AA7363" w:rsidRDefault="00AA7363"/>
        </w:tc>
      </w:tr>
      <w:tr w:rsidR="00AA7363" w:rsidRPr="00AA7363" w:rsidTr="00AA7363">
        <w:trPr>
          <w:trHeight w:val="1859"/>
        </w:trPr>
        <w:tc>
          <w:tcPr>
            <w:tcW w:w="12340" w:type="dxa"/>
            <w:vMerge/>
            <w:hideMark/>
          </w:tcPr>
          <w:p w:rsidR="00AA7363" w:rsidRPr="00AA7363" w:rsidRDefault="00AA7363"/>
        </w:tc>
      </w:tr>
      <w:tr w:rsidR="00AA7363" w:rsidRPr="00AA7363" w:rsidTr="00AA7363">
        <w:trPr>
          <w:trHeight w:val="1859"/>
        </w:trPr>
        <w:tc>
          <w:tcPr>
            <w:tcW w:w="12340" w:type="dxa"/>
            <w:vMerge/>
            <w:hideMark/>
          </w:tcPr>
          <w:p w:rsidR="00AA7363" w:rsidRPr="00AA7363" w:rsidRDefault="00AA7363"/>
        </w:tc>
      </w:tr>
      <w:tr w:rsidR="00AA7363" w:rsidRPr="00AA7363" w:rsidTr="00AA7363">
        <w:trPr>
          <w:trHeight w:val="2805"/>
        </w:trPr>
        <w:tc>
          <w:tcPr>
            <w:tcW w:w="12340" w:type="dxa"/>
            <w:vMerge/>
            <w:hideMark/>
          </w:tcPr>
          <w:p w:rsidR="00AA7363" w:rsidRPr="00AA7363" w:rsidRDefault="00AA7363"/>
        </w:tc>
      </w:tr>
      <w:tr w:rsidR="00AA7363" w:rsidRPr="00AA7363" w:rsidTr="00AA7363">
        <w:trPr>
          <w:trHeight w:val="450"/>
        </w:trPr>
        <w:tc>
          <w:tcPr>
            <w:tcW w:w="12340" w:type="dxa"/>
            <w:vMerge/>
            <w:hideMark/>
          </w:tcPr>
          <w:p w:rsidR="00AA7363" w:rsidRPr="00AA7363" w:rsidRDefault="00AA7363"/>
        </w:tc>
      </w:tr>
      <w:tr w:rsidR="00AA7363" w:rsidRPr="00AA7363" w:rsidTr="00AA7363">
        <w:trPr>
          <w:trHeight w:val="450"/>
        </w:trPr>
        <w:tc>
          <w:tcPr>
            <w:tcW w:w="12340" w:type="dxa"/>
            <w:vMerge/>
            <w:hideMark/>
          </w:tcPr>
          <w:p w:rsidR="00AA7363" w:rsidRPr="00AA7363" w:rsidRDefault="00AA7363"/>
        </w:tc>
      </w:tr>
      <w:tr w:rsidR="00AA7363" w:rsidRPr="00AA7363" w:rsidTr="00AA7363">
        <w:trPr>
          <w:trHeight w:val="450"/>
        </w:trPr>
        <w:tc>
          <w:tcPr>
            <w:tcW w:w="12340" w:type="dxa"/>
            <w:vMerge/>
            <w:hideMark/>
          </w:tcPr>
          <w:p w:rsidR="00AA7363" w:rsidRPr="00AA7363" w:rsidRDefault="00AA7363"/>
        </w:tc>
      </w:tr>
    </w:tbl>
    <w:p w:rsidR="00011454" w:rsidRDefault="00011454"/>
    <w:sectPr w:rsidR="00011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34"/>
    <w:rsid w:val="00011454"/>
    <w:rsid w:val="00AA7363"/>
    <w:rsid w:val="00CE0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AA404-E068-4C28-A017-5A92C2E9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1976">
      <w:bodyDiv w:val="1"/>
      <w:marLeft w:val="0"/>
      <w:marRight w:val="0"/>
      <w:marTop w:val="0"/>
      <w:marBottom w:val="0"/>
      <w:divBdr>
        <w:top w:val="none" w:sz="0" w:space="0" w:color="auto"/>
        <w:left w:val="none" w:sz="0" w:space="0" w:color="auto"/>
        <w:bottom w:val="none" w:sz="0" w:space="0" w:color="auto"/>
        <w:right w:val="none" w:sz="0" w:space="0" w:color="auto"/>
      </w:divBdr>
    </w:div>
    <w:div w:id="2866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4979</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2022-08-16T13:22:00Z</dcterms:created>
  <dcterms:modified xsi:type="dcterms:W3CDTF">2022-08-16T13:23:00Z</dcterms:modified>
</cp:coreProperties>
</file>