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64FFB" w:rsidRPr="00964FFB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8660E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542621"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/2019/G </w:t>
      </w:r>
    </w:p>
    <w:p w:rsidR="004826FD" w:rsidRPr="00964FFB" w:rsidRDefault="00F73AB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CD09D1">
        <w:rPr>
          <w:rFonts w:eastAsia="Times New Roman" w:cstheme="minorHAnsi"/>
          <w:b/>
          <w:bCs/>
          <w:sz w:val="24"/>
          <w:szCs w:val="24"/>
          <w:lang w:eastAsia="pl-PL"/>
        </w:rPr>
        <w:t>17</w:t>
      </w:r>
      <w:r w:rsidR="0060374B">
        <w:rPr>
          <w:rFonts w:eastAsia="Times New Roman" w:cstheme="minorHAnsi"/>
          <w:b/>
          <w:bCs/>
          <w:sz w:val="24"/>
          <w:szCs w:val="24"/>
          <w:lang w:eastAsia="pl-PL"/>
        </w:rPr>
        <w:t>.07</w:t>
      </w:r>
      <w:r w:rsidR="00964FFB" w:rsidRPr="00964FFB">
        <w:rPr>
          <w:rFonts w:eastAsia="Times New Roman" w:cstheme="minorHAnsi"/>
          <w:b/>
          <w:bCs/>
          <w:sz w:val="24"/>
          <w:szCs w:val="24"/>
          <w:lang w:eastAsia="pl-PL"/>
        </w:rPr>
        <w:t>.2019r.</w:t>
      </w:r>
    </w:p>
    <w:p w:rsidR="00542621" w:rsidRPr="00964FFB" w:rsidRDefault="00F73ABD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POWIERZENIE GRANTÓW</w:t>
      </w:r>
    </w:p>
    <w:p w:rsidR="00542621" w:rsidRPr="00964FFB" w:rsidRDefault="00542621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26FD" w:rsidRPr="00D8660E" w:rsidRDefault="00D8660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D8660E">
        <w:rPr>
          <w:b/>
          <w:sz w:val="24"/>
          <w:szCs w:val="24"/>
        </w:rPr>
        <w:t>Wspólne działania promocyjne całego obszaru LGD Partnerstwo Ducha Gór pod wspólnym szyldem – Kraina Ducha Gór.</w:t>
      </w:r>
    </w:p>
    <w:p w:rsidR="004826FD" w:rsidRPr="004826FD" w:rsidRDefault="00137AAB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E763B3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3B3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E763B3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E763B3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8D6938" w:rsidRPr="006133B1" w:rsidRDefault="00896010" w:rsidP="008D693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763B3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E763B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 w:rsidRPr="00E763B3">
        <w:rPr>
          <w:rFonts w:eastAsia="Times New Roman" w:cstheme="minorHAnsi"/>
          <w:sz w:val="24"/>
          <w:szCs w:val="24"/>
          <w:lang w:eastAsia="pl-PL"/>
        </w:rPr>
        <w:t xml:space="preserve">o którym mowa </w:t>
      </w:r>
      <w:r w:rsidR="00FD57FE" w:rsidRPr="0089064E">
        <w:rPr>
          <w:rFonts w:eastAsia="Times New Roman" w:cstheme="minorHAnsi"/>
          <w:sz w:val="24"/>
          <w:szCs w:val="24"/>
          <w:lang w:eastAsia="pl-PL"/>
        </w:rPr>
        <w:t>w § 2 ust.1 pkt</w:t>
      </w:r>
      <w:r w:rsidR="00ED186C" w:rsidRPr="0089064E">
        <w:rPr>
          <w:rFonts w:eastAsia="Times New Roman" w:cstheme="minorHAnsi"/>
          <w:sz w:val="24"/>
          <w:szCs w:val="24"/>
          <w:lang w:eastAsia="pl-PL"/>
        </w:rPr>
        <w:t>.</w:t>
      </w:r>
      <w:r w:rsidR="00E763B3" w:rsidRPr="0089064E">
        <w:rPr>
          <w:rFonts w:eastAsia="Times New Roman" w:cstheme="minorHAnsi"/>
          <w:sz w:val="24"/>
          <w:szCs w:val="24"/>
          <w:lang w:eastAsia="pl-PL"/>
        </w:rPr>
        <w:t xml:space="preserve"> 8</w:t>
      </w:r>
      <w:r w:rsidRPr="008906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9064E">
        <w:rPr>
          <w:rFonts w:eastAsia="Times New Roman" w:cstheme="minorHAnsi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 w:rsidRPr="008906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89064E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89064E">
        <w:rPr>
          <w:rFonts w:eastAsia="Times New Roman" w:cstheme="minorHAnsi"/>
          <w:sz w:val="24"/>
          <w:szCs w:val="24"/>
          <w:lang w:eastAsia="pl-PL"/>
        </w:rPr>
        <w:t>Dz.</w:t>
      </w:r>
      <w:r w:rsidR="00BB544F" w:rsidRPr="0089064E">
        <w:rPr>
          <w:rFonts w:eastAsia="Times New Roman" w:cstheme="minorHAnsi"/>
          <w:sz w:val="24"/>
          <w:szCs w:val="24"/>
          <w:lang w:eastAsia="pl-PL"/>
        </w:rPr>
        <w:t>U.                     z 2019</w:t>
      </w:r>
      <w:r w:rsidR="001130E6" w:rsidRPr="0089064E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1F7583" w:rsidRPr="0089064E">
        <w:rPr>
          <w:rFonts w:eastAsia="Times New Roman" w:cstheme="minorHAnsi"/>
          <w:sz w:val="24"/>
          <w:szCs w:val="24"/>
          <w:lang w:eastAsia="pl-PL"/>
        </w:rPr>
        <w:t xml:space="preserve"> poz. </w:t>
      </w:r>
      <w:r w:rsidR="00BB544F" w:rsidRPr="0089064E">
        <w:rPr>
          <w:rFonts w:eastAsia="Times New Roman" w:cstheme="minorHAnsi"/>
          <w:sz w:val="24"/>
          <w:szCs w:val="24"/>
          <w:lang w:eastAsia="pl-PL"/>
        </w:rPr>
        <w:t>664</w:t>
      </w:r>
      <w:r w:rsidR="001130E6" w:rsidRPr="0089064E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89064E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89064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 w:rsidRPr="0089064E">
        <w:rPr>
          <w:rFonts w:eastAsia="Times New Roman" w:cstheme="minorHAnsi"/>
          <w:sz w:val="24"/>
          <w:szCs w:val="24"/>
          <w:u w:val="single"/>
          <w:lang w:eastAsia="pl-PL"/>
        </w:rPr>
        <w:t>tj</w:t>
      </w:r>
      <w:r w:rsidR="00FD57FE" w:rsidRPr="0089064E">
        <w:rPr>
          <w:rFonts w:eastAsia="Times New Roman" w:cstheme="minorHAnsi"/>
          <w:sz w:val="24"/>
          <w:szCs w:val="24"/>
          <w:u w:val="single"/>
          <w:lang w:eastAsia="pl-PL"/>
        </w:rPr>
        <w:t xml:space="preserve">. </w:t>
      </w:r>
      <w:r w:rsidR="00E763B3" w:rsidRPr="0089064E">
        <w:rPr>
          <w:rFonts w:eastAsia="Times New Roman" w:cstheme="minorHAnsi"/>
          <w:sz w:val="24"/>
          <w:szCs w:val="24"/>
          <w:u w:val="single"/>
          <w:lang w:eastAsia="pl-PL"/>
        </w:rPr>
        <w:t>promowanie obszaru objętego LSR, w tym produktów lub usług lokalnych</w:t>
      </w:r>
      <w:r w:rsidR="008D6938" w:rsidRPr="008F50B7">
        <w:rPr>
          <w:sz w:val="24"/>
          <w:szCs w:val="24"/>
        </w:rPr>
        <w:t xml:space="preserve">  </w:t>
      </w:r>
      <w:r w:rsidR="008D6938" w:rsidRPr="006133B1">
        <w:rPr>
          <w:sz w:val="24"/>
          <w:szCs w:val="24"/>
          <w:u w:val="single"/>
        </w:rPr>
        <w:t>z tym, że:</w:t>
      </w:r>
    </w:p>
    <w:p w:rsidR="008D6938" w:rsidRPr="006133B1" w:rsidRDefault="008D6938" w:rsidP="008D693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33B1">
        <w:rPr>
          <w:rFonts w:eastAsia="Times New Roman" w:cstheme="minorHAnsi"/>
          <w:sz w:val="24"/>
          <w:szCs w:val="24"/>
          <w:lang w:eastAsia="pl-PL"/>
        </w:rPr>
        <w:t>operacja nie służy promocji produktów lub usług lokalnych wyłącznie jednego podmiotu,</w:t>
      </w:r>
    </w:p>
    <w:p w:rsidR="008D6938" w:rsidRPr="006133B1" w:rsidRDefault="008D6938" w:rsidP="008D693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33B1">
        <w:rPr>
          <w:rFonts w:eastAsia="Times New Roman" w:cstheme="minorHAnsi"/>
          <w:sz w:val="24"/>
          <w:szCs w:val="24"/>
          <w:lang w:eastAsia="pl-PL"/>
        </w:rPr>
        <w:t xml:space="preserve">nie dotyczy organizacji wydarzeń cyklicznych, z wyjątkiem wydarzeń inicjujących cykl wydarzeń  lub wydarzenia specyficznego dla danej lokalnej strategii rozwoju, wskazanych i uzasadnionych w lokalnej strategii rozwoju, przy czym przez wydarzenie cykliczne rozumie się wydarzenie organizowane więcej niż jeden raz poświęcone przynajmniej w części tej samej tematyce.  </w:t>
      </w:r>
    </w:p>
    <w:p w:rsidR="000A59FF" w:rsidRDefault="000A59FF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537E2E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="00537E2E">
        <w:rPr>
          <w:rFonts w:eastAsia="Times New Roman" w:cstheme="minorHAnsi"/>
          <w:color w:val="333333"/>
          <w:sz w:val="24"/>
          <w:szCs w:val="24"/>
          <w:lang w:eastAsia="pl-PL"/>
        </w:rPr>
        <w:t> 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537E2E" w:rsidRPr="00537E2E">
        <w:t xml:space="preserve"> </w:t>
      </w:r>
      <w:r w:rsidR="00537E2E">
        <w:t>Poprawa atrakcyjności i zrównoważenie rozwoju turystycznego obszaru LGD Partnerstwo Ducha Gór, opartego na zasobach, przy udziale społeczności lokalnych poprzez innowacyjność, z poszanowaniem środowiska i klimatu do 2020(23) r.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="00D8660E">
        <w:rPr>
          <w:rFonts w:eastAsia="Times New Roman" w:cstheme="minorHAnsi"/>
          <w:color w:val="333333"/>
          <w:sz w:val="24"/>
          <w:szCs w:val="24"/>
          <w:lang w:eastAsia="pl-PL"/>
        </w:rPr>
        <w:t>.2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537E2E" w:rsidRPr="00537E2E">
        <w:t xml:space="preserve"> </w:t>
      </w:r>
      <w:r w:rsidR="00537E2E">
        <w:t xml:space="preserve"> </w:t>
      </w:r>
      <w:r w:rsidR="00D8660E">
        <w:t>Poprawa promocji obszaru LGD Partnerstwo Ducha Gór pod wspólnym szyldem – Kraina Ducha Gór do 2020(23) r.</w:t>
      </w:r>
    </w:p>
    <w:p w:rsidR="00542621" w:rsidRDefault="00542621" w:rsidP="00233798">
      <w:pPr>
        <w:shd w:val="clear" w:color="auto" w:fill="FFFFFF"/>
        <w:spacing w:after="0" w:line="240" w:lineRule="auto"/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</w:t>
      </w:r>
      <w:r w:rsidR="00D8660E">
        <w:rPr>
          <w:rFonts w:eastAsia="Times New Roman" w:cstheme="minorHAnsi"/>
          <w:color w:val="333333"/>
          <w:sz w:val="24"/>
          <w:szCs w:val="24"/>
          <w:lang w:eastAsia="pl-PL"/>
        </w:rPr>
        <w:t>.2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D8660E">
        <w:rPr>
          <w:rFonts w:eastAsia="Times New Roman" w:cstheme="minorHAnsi"/>
          <w:color w:val="333333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8660E">
        <w:t>Wspólne działania promocyjne całego obszaru LGD Partnerstwo Ducha Gór pod wspólnym szyldem – Kraina Ducha Gór</w:t>
      </w:r>
    </w:p>
    <w:p w:rsidR="0089064E" w:rsidRPr="00233798" w:rsidRDefault="0089064E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D8660E" w:rsidRPr="006133B1" w:rsidRDefault="00CA170F" w:rsidP="00D8627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D8660E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produktu:  </w:t>
      </w:r>
      <w:r w:rsidR="00B04A0D" w:rsidRPr="00D8660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rodzajów </w:t>
      </w:r>
      <w:r w:rsidR="00233798" w:rsidRPr="00D8660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141A7">
        <w:rPr>
          <w:rFonts w:eastAsia="Times New Roman" w:cstheme="minorHAnsi"/>
          <w:color w:val="333333"/>
          <w:sz w:val="24"/>
          <w:szCs w:val="24"/>
          <w:lang w:eastAsia="pl-PL"/>
        </w:rPr>
        <w:t>działań promocyjnych</w:t>
      </w:r>
      <w:r w:rsidR="00233798" w:rsidRPr="00D8660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42621" w:rsidRPr="00D8660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D8660E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233798" w:rsidRPr="00D866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660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– </w:t>
      </w:r>
      <w:r w:rsidR="00DE54D6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szt.</w:t>
      </w:r>
    </w:p>
    <w:p w:rsidR="00CA170F" w:rsidRPr="006133B1" w:rsidRDefault="00CA170F" w:rsidP="00D8627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D8660E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D8660E">
        <w:rPr>
          <w:rFonts w:eastAsia="Times New Roman" w:cstheme="minorHAnsi"/>
          <w:sz w:val="24"/>
          <w:szCs w:val="24"/>
          <w:lang w:eastAsia="pl-PL"/>
        </w:rPr>
        <w:t xml:space="preserve">liczba osób </w:t>
      </w:r>
      <w:r w:rsidR="00D141A7">
        <w:rPr>
          <w:rFonts w:eastAsia="Times New Roman" w:cstheme="minorHAnsi"/>
          <w:sz w:val="24"/>
          <w:szCs w:val="24"/>
          <w:lang w:eastAsia="pl-PL"/>
        </w:rPr>
        <w:t xml:space="preserve">poinformowanych o </w:t>
      </w:r>
      <w:r w:rsidR="00D141A7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walorach turystycznych obszaru  LGD</w:t>
      </w:r>
      <w:r w:rsidR="00233798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F524E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(w</w:t>
      </w:r>
      <w:r w:rsidR="00233798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artość końcowa zgodnie z LSR – </w:t>
      </w:r>
      <w:r w:rsidR="00D141A7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50</w:t>
      </w:r>
      <w:r w:rsidR="00537E2E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.000</w:t>
      </w:r>
      <w:r w:rsidR="00AF524E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osób</w:t>
      </w:r>
    </w:p>
    <w:p w:rsidR="00CE0126" w:rsidRPr="00542621" w:rsidRDefault="00CE0126" w:rsidP="00CE0126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0A59FF" w:rsidRPr="006133B1" w:rsidRDefault="000A59FF" w:rsidP="008D693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33B1">
        <w:rPr>
          <w:rFonts w:eastAsia="Times New Roman" w:cstheme="minorHAnsi"/>
          <w:bCs/>
          <w:sz w:val="24"/>
          <w:szCs w:val="24"/>
          <w:lang w:eastAsia="pl-PL"/>
        </w:rPr>
        <w:t>wspólne działania promocyjne</w:t>
      </w:r>
      <w:r w:rsidRPr="006133B1">
        <w:t xml:space="preserve"> </w:t>
      </w:r>
      <w:r w:rsidRPr="006133B1">
        <w:rPr>
          <w:rFonts w:eastAsia="Times New Roman" w:cstheme="minorHAnsi"/>
          <w:bCs/>
          <w:sz w:val="24"/>
          <w:szCs w:val="24"/>
          <w:lang w:eastAsia="pl-PL"/>
        </w:rPr>
        <w:t>pod szyldem Kraina Ducha Gór .</w:t>
      </w:r>
    </w:p>
    <w:p w:rsidR="000A59FF" w:rsidRPr="008D6938" w:rsidRDefault="000A59FF" w:rsidP="000A59F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763B3" w:rsidRPr="00DE54D6" w:rsidRDefault="00E763B3" w:rsidP="00233798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763B3" w:rsidRPr="006133B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</w:t>
      </w:r>
      <w:r w:rsidRPr="008D6938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6133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="008D69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D6938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DE54D6" w:rsidRPr="006133B1">
        <w:rPr>
          <w:rFonts w:eastAsia="Times New Roman" w:cstheme="minorHAnsi"/>
          <w:bCs/>
          <w:sz w:val="24"/>
          <w:szCs w:val="24"/>
          <w:lang w:eastAsia="pl-PL"/>
        </w:rPr>
        <w:t>02.08</w:t>
      </w:r>
      <w:r w:rsidR="00256597" w:rsidRPr="006133B1">
        <w:rPr>
          <w:rFonts w:eastAsia="Times New Roman" w:cstheme="minorHAnsi"/>
          <w:bCs/>
          <w:sz w:val="24"/>
          <w:szCs w:val="24"/>
          <w:lang w:eastAsia="pl-PL"/>
        </w:rPr>
        <w:t>.2019r. –</w:t>
      </w:r>
      <w:r w:rsidR="008D6938" w:rsidRPr="006133B1">
        <w:rPr>
          <w:rFonts w:eastAsia="Times New Roman" w:cstheme="minorHAnsi"/>
          <w:bCs/>
          <w:sz w:val="24"/>
          <w:szCs w:val="24"/>
          <w:lang w:eastAsia="pl-PL"/>
        </w:rPr>
        <w:t xml:space="preserve"> 27.09</w:t>
      </w:r>
      <w:r w:rsidR="007275C1" w:rsidRPr="006133B1">
        <w:rPr>
          <w:rFonts w:eastAsia="Times New Roman" w:cstheme="minorHAnsi"/>
          <w:bCs/>
          <w:sz w:val="24"/>
          <w:szCs w:val="24"/>
          <w:lang w:eastAsia="pl-PL"/>
        </w:rPr>
        <w:t xml:space="preserve">.2019r. </w:t>
      </w:r>
    </w:p>
    <w:p w:rsidR="008D6938" w:rsidRPr="006133B1" w:rsidRDefault="008D6938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E103A2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6A009F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6A009F" w:rsidRPr="00542621" w:rsidRDefault="006A009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Operację należy zaplanować na 2020 rok.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egzemplarzu </w:t>
      </w:r>
      <w:r w:rsidR="006A009F">
        <w:rPr>
          <w:rFonts w:eastAsia="Times New Roman" w:cstheme="minorHAnsi"/>
          <w:bCs/>
          <w:sz w:val="24"/>
          <w:szCs w:val="24"/>
          <w:lang w:eastAsia="pl-PL"/>
        </w:rPr>
        <w:t>(wraz z załącznikami)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="006A009F">
        <w:rPr>
          <w:rFonts w:eastAsia="Times New Roman" w:cstheme="minorHAnsi"/>
          <w:b/>
          <w:bCs/>
          <w:sz w:val="24"/>
          <w:szCs w:val="24"/>
          <w:lang w:eastAsia="pl-PL"/>
        </w:rPr>
        <w:t>1 płyta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CD </w:t>
      </w:r>
      <w:r w:rsidRPr="00656135">
        <w:rPr>
          <w:rFonts w:eastAsia="Times New Roman" w:cstheme="minorHAnsi"/>
          <w:sz w:val="24"/>
          <w:szCs w:val="24"/>
          <w:lang w:eastAsia="pl-PL"/>
        </w:rPr>
        <w:t>(</w:t>
      </w:r>
      <w:r w:rsidR="006A009F">
        <w:rPr>
          <w:rFonts w:eastAsia="Times New Roman" w:cstheme="minorHAnsi"/>
          <w:sz w:val="24"/>
          <w:szCs w:val="24"/>
          <w:lang w:eastAsia="pl-PL"/>
        </w:rPr>
        <w:t>tylko wniosek</w:t>
      </w:r>
      <w:r w:rsidRPr="00656135">
        <w:rPr>
          <w:rFonts w:eastAsia="Times New Roman" w:cstheme="minorHAnsi"/>
          <w:sz w:val="24"/>
          <w:szCs w:val="24"/>
          <w:lang w:eastAsia="pl-PL"/>
        </w:rPr>
        <w:t>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84E34" w:rsidRDefault="00084E3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6133B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kwoty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E54D6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50.000</w:t>
      </w:r>
      <w:r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5451CD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E54D6"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300</w:t>
      </w:r>
      <w:r w:rsidRPr="00613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000 zł </w:t>
      </w: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6133B1" w:rsidRDefault="006133B1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</w:t>
      </w:r>
      <w:r w:rsidR="00ED0E73">
        <w:rPr>
          <w:sz w:val="24"/>
          <w:szCs w:val="24"/>
        </w:rPr>
        <w:t>.</w:t>
      </w:r>
      <w:r w:rsidRPr="009B2999">
        <w:rPr>
          <w:sz w:val="24"/>
          <w:szCs w:val="24"/>
        </w:rPr>
        <w:t xml:space="preserve"> 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 xml:space="preserve">Grantobiorca </w:t>
      </w:r>
      <w:r w:rsidRPr="006A009F">
        <w:rPr>
          <w:b/>
          <w:color w:val="FF0000"/>
          <w:sz w:val="24"/>
          <w:szCs w:val="24"/>
          <w:u w:val="single"/>
        </w:rPr>
        <w:t>nie może</w:t>
      </w:r>
      <w:r w:rsidRPr="006A009F">
        <w:rPr>
          <w:color w:val="FF0000"/>
          <w:sz w:val="24"/>
          <w:szCs w:val="24"/>
        </w:rPr>
        <w:t xml:space="preserve"> </w:t>
      </w:r>
      <w:r w:rsidRPr="009B2999">
        <w:rPr>
          <w:sz w:val="24"/>
          <w:szCs w:val="24"/>
        </w:rPr>
        <w:t xml:space="preserve">prowadzić działalności gospodarczej </w:t>
      </w:r>
      <w:r w:rsidR="006A009F">
        <w:rPr>
          <w:sz w:val="24"/>
          <w:szCs w:val="24"/>
        </w:rPr>
        <w:t>.</w:t>
      </w:r>
    </w:p>
    <w:p w:rsidR="00324C64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D0E73" w:rsidRPr="009B2999" w:rsidRDefault="00ED0E73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Pr="006133B1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763B3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 w:rsidRP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</w:t>
      </w:r>
      <w:r w:rsidRPr="006133B1">
        <w:rPr>
          <w:rFonts w:eastAsia="Times New Roman" w:cstheme="minorHAnsi"/>
          <w:color w:val="333333"/>
          <w:sz w:val="24"/>
          <w:szCs w:val="24"/>
          <w:lang w:eastAsia="pl-PL"/>
        </w:rPr>
        <w:t>tematycznym</w:t>
      </w:r>
      <w:r w:rsidR="00ED186C"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763B3"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</w:t>
      </w:r>
      <w:r w:rsidR="00E763B3" w:rsidRPr="006133B1">
        <w:rPr>
          <w:rFonts w:eastAsia="Times New Roman" w:cstheme="minorHAnsi"/>
          <w:i/>
          <w:color w:val="333333"/>
          <w:sz w:val="24"/>
          <w:szCs w:val="24"/>
          <w:lang w:eastAsia="pl-PL"/>
        </w:rPr>
        <w:t>promowanie obszaru objętego LSR, w tym produktów lub usług lokalnych</w:t>
      </w:r>
      <w:r w:rsidR="00E763B3"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B2076" w:rsidRPr="006133B1">
        <w:rPr>
          <w:sz w:val="24"/>
          <w:szCs w:val="24"/>
        </w:rPr>
        <w:t>,</w:t>
      </w:r>
      <w:r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6133B1">
        <w:rPr>
          <w:rFonts w:eastAsia="Times New Roman" w:cstheme="minorHAnsi"/>
          <w:color w:val="333333"/>
          <w:sz w:val="24"/>
          <w:szCs w:val="24"/>
          <w:lang w:eastAsia="pl-PL"/>
        </w:rPr>
        <w:t>ym mowa w § 2 ust.</w:t>
      </w:r>
      <w:r w:rsidR="001E417C"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D186C"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1 pkt. </w:t>
      </w:r>
      <w:r w:rsidR="00E763B3" w:rsidRPr="006133B1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Pr="006133B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rozporządzenia Ministra Rolnictwa i Rozwoju Wsi z dnia </w:t>
      </w:r>
      <w:r w:rsidR="00ED186C" w:rsidRP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</w:t>
      </w:r>
      <w:r w:rsidRPr="00E763B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>(</w:t>
      </w:r>
      <w:r w:rsidRPr="006133B1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>U. z 201</w:t>
      </w:r>
      <w:r w:rsidR="00BB544F" w:rsidRPr="006133B1">
        <w:rPr>
          <w:rFonts w:eastAsia="Times New Roman" w:cstheme="minorHAnsi"/>
          <w:sz w:val="24"/>
          <w:szCs w:val="24"/>
          <w:lang w:eastAsia="pl-PL"/>
        </w:rPr>
        <w:t>9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BB544F" w:rsidRPr="006133B1">
        <w:rPr>
          <w:rFonts w:eastAsia="Times New Roman" w:cstheme="minorHAnsi"/>
          <w:sz w:val="24"/>
          <w:szCs w:val="24"/>
          <w:lang w:eastAsia="pl-PL"/>
        </w:rPr>
        <w:t>664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6133B1">
        <w:rPr>
          <w:rFonts w:eastAsia="Times New Roman" w:cstheme="minorHAnsi"/>
          <w:sz w:val="24"/>
          <w:szCs w:val="24"/>
          <w:lang w:eastAsia="pl-PL"/>
        </w:rPr>
        <w:t>)</w:t>
      </w:r>
      <w:r w:rsidR="00ED186C" w:rsidRPr="006133B1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6133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6133B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 xml:space="preserve">2020 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>(</w:t>
      </w:r>
      <w:r w:rsidRPr="006133B1">
        <w:rPr>
          <w:rFonts w:eastAsia="Times New Roman" w:cstheme="minorHAnsi"/>
          <w:sz w:val="24"/>
          <w:szCs w:val="24"/>
          <w:lang w:eastAsia="pl-PL"/>
        </w:rPr>
        <w:t>Dz.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>U. z 201</w:t>
      </w:r>
      <w:r w:rsidR="00BB544F" w:rsidRPr="006133B1">
        <w:rPr>
          <w:rFonts w:eastAsia="Times New Roman" w:cstheme="minorHAnsi"/>
          <w:sz w:val="24"/>
          <w:szCs w:val="24"/>
          <w:lang w:eastAsia="pl-PL"/>
        </w:rPr>
        <w:t>9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BB544F" w:rsidRPr="006133B1">
        <w:rPr>
          <w:rFonts w:eastAsia="Times New Roman" w:cstheme="minorHAnsi"/>
          <w:sz w:val="24"/>
          <w:szCs w:val="24"/>
          <w:lang w:eastAsia="pl-PL"/>
        </w:rPr>
        <w:t>664</w:t>
      </w:r>
      <w:r w:rsidR="001E417C" w:rsidRPr="006133B1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6133B1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ED186C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6A009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Kryteriami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FC05C7" w:rsidRP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III.1.2.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</w:t>
      </w:r>
      <w:r w:rsidR="00FC05C7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 organizacji, w tym edukacja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w zakresie ochrony środowiska i przeciwdziałania zmianom klimatu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D0E73" w:rsidRDefault="00ED0E73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273B50" w:rsidRDefault="00F916E2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="00562959"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562959"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Gór </w:t>
      </w:r>
      <w:r w:rsidR="00562959" w:rsidRPr="0056295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9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562959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62959" w:rsidRPr="00562959">
        <w:rPr>
          <w:rFonts w:eastAsia="Times New Roman" w:cstheme="minorHAnsi"/>
          <w:color w:val="333333"/>
          <w:sz w:val="24"/>
          <w:szCs w:val="24"/>
          <w:lang w:eastAsia="pl-PL"/>
        </w:rPr>
        <w:t>zakładka </w:t>
      </w:r>
      <w:hyperlink r:id="rId10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/Dla NGO →  </w:t>
      </w:r>
      <w:r w:rsidR="00ED2499" w:rsidRPr="00273B50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  <w:r w:rsidRPr="00273B5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 w:rsidRPr="00BE474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1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273B50">
        <w:rPr>
          <w:rFonts w:eastAsia="Times New Roman" w:cstheme="minorHAnsi"/>
          <w:sz w:val="24"/>
          <w:szCs w:val="24"/>
          <w:lang w:eastAsia="pl-PL"/>
        </w:rPr>
        <w:t>,</w:t>
      </w:r>
      <w:r w:rsidRPr="00BE474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73B50">
        <w:rPr>
          <w:rFonts w:eastAsia="Times New Roman" w:cstheme="minorHAnsi"/>
          <w:sz w:val="24"/>
          <w:szCs w:val="24"/>
          <w:lang w:eastAsia="pl-PL"/>
        </w:rPr>
        <w:t>zakładka </w:t>
      </w:r>
      <w:hyperlink r:id="rId12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C0285" w:rsidRDefault="00AC0285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C0285" w:rsidRPr="008A543E" w:rsidRDefault="00AC0285" w:rsidP="00AC028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A6495">
        <w:rPr>
          <w:rFonts w:eastAsia="Times New Roman" w:cstheme="minorHAnsi"/>
          <w:color w:val="333333"/>
          <w:sz w:val="24"/>
          <w:szCs w:val="24"/>
          <w:lang w:eastAsia="pl-PL"/>
        </w:rPr>
        <w:t>Strategia Rozwoju Lokalnego Kierowanego przez Społeczność LSR Partnerstwa Ducha Gór na lata 2014-2020(23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>s</w:t>
      </w:r>
      <w:r w:rsidR="00F916E2"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3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</w:p>
    <w:p w:rsidR="00AC0285" w:rsidRPr="00273B50" w:rsidRDefault="00AC0285" w:rsidP="00C235C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Regulamin Rady Lokalnej Grupy Działania Partnerstwo Ducha Gór </w:t>
      </w:r>
      <w:r w:rsidR="00F916E2"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 w:rsidRP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4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F916E2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5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Procedury/Aktualne wersje procedur i regulaminów.</w:t>
      </w:r>
    </w:p>
    <w:p w:rsidR="00AC0285" w:rsidRPr="00273B50" w:rsidRDefault="00AC0285" w:rsidP="00AC0285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273B50">
        <w:rPr>
          <w:rFonts w:eastAsia="Times New Roman" w:cstheme="minorHAnsi"/>
          <w:sz w:val="24"/>
          <w:szCs w:val="24"/>
          <w:lang w:eastAsia="pl-PL"/>
        </w:rPr>
        <w:t>System wizualizacji LGD Partnerstwo Ducha Gór dotyczący Krainy Ducha Gór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273B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strona internetowa </w:t>
      </w:r>
      <w:hyperlink r:id="rId16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AC0285" w:rsidRPr="00ED0E73" w:rsidRDefault="00AC0285" w:rsidP="00AE487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0E73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ED0E7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235C8" w:rsidRPr="00ED0E7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235C8" w:rsidRPr="00ED0E73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7" w:history="1">
        <w:r w:rsidR="00C235C8" w:rsidRPr="00ED0E73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ED0E73">
        <w:rPr>
          <w:rFonts w:eastAsia="Times New Roman" w:cstheme="minorHAnsi"/>
          <w:sz w:val="24"/>
          <w:szCs w:val="24"/>
          <w:lang w:eastAsia="pl-PL"/>
        </w:rPr>
        <w:t>.</w:t>
      </w: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>21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C235C8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Wnioski o powierzenie grantu </w:t>
      </w:r>
      <w:r w:rsidR="004826FD" w:rsidRPr="00C235C8">
        <w:rPr>
          <w:rFonts w:eastAsia="Times New Roman" w:cstheme="minorHAnsi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(ponumerowanie stron każdego załącznika) </w:t>
      </w:r>
      <w:r w:rsidRPr="00C235C8">
        <w:rPr>
          <w:rFonts w:eastAsia="Times New Roman" w:cstheme="minorHAnsi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Zachęcamy do składania wniosków wcześniej niż w ostatnim dniu naboru. W ostatnim dniu przyjmowania wniosków proszę wziąć pod uwagę techniczne i logistyczne możliwości przyjmowania i rejestracji wniosków przez </w:t>
      </w:r>
      <w:r w:rsidR="00ED0E73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C235C8">
        <w:rPr>
          <w:rFonts w:eastAsia="Times New Roman" w:cstheme="minorHAnsi"/>
          <w:sz w:val="24"/>
          <w:szCs w:val="24"/>
          <w:lang w:eastAsia="pl-PL"/>
        </w:rPr>
        <w:t>pracowników do godz. 16.00.</w:t>
      </w:r>
      <w:r w:rsidR="003E4446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A032FB" w:rsidRPr="00C235C8" w:rsidRDefault="00A032FB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Rada LGD ocenia Państwa projekt na podstawie złożonych dokumentów wypełniając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Karty oceny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Kortami oceny</w:t>
      </w:r>
      <w:r w:rsidRPr="00C235C8">
        <w:rPr>
          <w:rFonts w:eastAsia="Times New Roman" w:cstheme="minorHAnsi"/>
          <w:sz w:val="24"/>
          <w:szCs w:val="24"/>
          <w:lang w:eastAsia="pl-PL"/>
        </w:rPr>
        <w:t>, które załączone zostały  do ogłoszenia  o naborze.</w:t>
      </w:r>
    </w:p>
    <w:p w:rsidR="00664696" w:rsidRPr="00C235C8" w:rsidRDefault="00664696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sz w:val="24"/>
          <w:szCs w:val="24"/>
        </w:rPr>
        <w:t xml:space="preserve">Zgodnie z </w:t>
      </w:r>
      <w:r w:rsidRPr="00C235C8">
        <w:rPr>
          <w:i/>
          <w:sz w:val="24"/>
          <w:szCs w:val="24"/>
        </w:rPr>
        <w:t xml:space="preserve">Procedurą oceny i wyboru grantobiorcy w ramach projektów grantowych LGD Partnerstwo Ducha Gór </w:t>
      </w:r>
      <w:r w:rsidR="000C0407" w:rsidRPr="00C235C8"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C235C8" w:rsidRPr="00C235C8">
        <w:rPr>
          <w:sz w:val="24"/>
          <w:szCs w:val="24"/>
        </w:rPr>
        <w:t xml:space="preserve">                        </w:t>
      </w:r>
      <w:r w:rsidR="000C0407" w:rsidRPr="00C235C8"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C235C8" w:rsidRPr="00C235C8">
        <w:rPr>
          <w:sz w:val="24"/>
          <w:szCs w:val="24"/>
        </w:rPr>
        <w:t xml:space="preserve">                                                       </w:t>
      </w:r>
      <w:r w:rsidR="000C0407" w:rsidRPr="00C235C8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</w:t>
      </w:r>
      <w:bookmarkStart w:id="0" w:name="_GoBack"/>
      <w:bookmarkEnd w:id="0"/>
      <w:r w:rsidRPr="00C235C8">
        <w:rPr>
          <w:rFonts w:eastAsia="Times New Roman" w:cstheme="minorHAnsi"/>
          <w:sz w:val="24"/>
          <w:szCs w:val="24"/>
          <w:lang w:eastAsia="pl-PL"/>
        </w:rPr>
        <w:t>oduje brak możliwości przyznania punktów w tym zakresie.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18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F7680" w:rsidRPr="006133B1" w:rsidRDefault="004826FD" w:rsidP="00E05A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cstheme="minorHAnsi"/>
        </w:rPr>
      </w:pPr>
      <w:r w:rsidRPr="006133B1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19" w:history="1">
        <w:r w:rsidRPr="006133B1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6133B1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sectPr w:rsidR="004F7680" w:rsidRPr="0061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AB" w:rsidRDefault="00137AAB" w:rsidP="005F0514">
      <w:pPr>
        <w:spacing w:after="0" w:line="240" w:lineRule="auto"/>
      </w:pPr>
      <w:r>
        <w:separator/>
      </w:r>
    </w:p>
  </w:endnote>
  <w:endnote w:type="continuationSeparator" w:id="0">
    <w:p w:rsidR="00137AAB" w:rsidRDefault="00137AAB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AB" w:rsidRDefault="00137AAB" w:rsidP="005F0514">
      <w:pPr>
        <w:spacing w:after="0" w:line="240" w:lineRule="auto"/>
      </w:pPr>
      <w:r>
        <w:separator/>
      </w:r>
    </w:p>
  </w:footnote>
  <w:footnote w:type="continuationSeparator" w:id="0">
    <w:p w:rsidR="00137AAB" w:rsidRDefault="00137AAB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3C5E550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66BA2"/>
    <w:rsid w:val="00073BB1"/>
    <w:rsid w:val="00084E34"/>
    <w:rsid w:val="00090365"/>
    <w:rsid w:val="000A59FF"/>
    <w:rsid w:val="000B4347"/>
    <w:rsid w:val="000B5080"/>
    <w:rsid w:val="000B7109"/>
    <w:rsid w:val="000C0407"/>
    <w:rsid w:val="000C4021"/>
    <w:rsid w:val="00102A83"/>
    <w:rsid w:val="001130E6"/>
    <w:rsid w:val="0012683F"/>
    <w:rsid w:val="00137AAB"/>
    <w:rsid w:val="001673FC"/>
    <w:rsid w:val="00191246"/>
    <w:rsid w:val="001A4997"/>
    <w:rsid w:val="001E3FDC"/>
    <w:rsid w:val="001E417C"/>
    <w:rsid w:val="001F1611"/>
    <w:rsid w:val="001F2B03"/>
    <w:rsid w:val="001F4A67"/>
    <w:rsid w:val="001F7583"/>
    <w:rsid w:val="00226E00"/>
    <w:rsid w:val="00233798"/>
    <w:rsid w:val="002508E3"/>
    <w:rsid w:val="00256597"/>
    <w:rsid w:val="00273B50"/>
    <w:rsid w:val="00284A6E"/>
    <w:rsid w:val="00287346"/>
    <w:rsid w:val="00287C37"/>
    <w:rsid w:val="002A5A0B"/>
    <w:rsid w:val="002A6495"/>
    <w:rsid w:val="002B1132"/>
    <w:rsid w:val="002B2076"/>
    <w:rsid w:val="002B6E00"/>
    <w:rsid w:val="002E246F"/>
    <w:rsid w:val="002F63EF"/>
    <w:rsid w:val="003126F8"/>
    <w:rsid w:val="003161F4"/>
    <w:rsid w:val="00324C64"/>
    <w:rsid w:val="003A6723"/>
    <w:rsid w:val="003C61C5"/>
    <w:rsid w:val="003D1B76"/>
    <w:rsid w:val="003E4446"/>
    <w:rsid w:val="003E6B89"/>
    <w:rsid w:val="003F0611"/>
    <w:rsid w:val="003F507C"/>
    <w:rsid w:val="003F5670"/>
    <w:rsid w:val="003F7148"/>
    <w:rsid w:val="004126EF"/>
    <w:rsid w:val="00447186"/>
    <w:rsid w:val="00462C84"/>
    <w:rsid w:val="004826FD"/>
    <w:rsid w:val="004F7680"/>
    <w:rsid w:val="00511B51"/>
    <w:rsid w:val="005339CB"/>
    <w:rsid w:val="00537E2E"/>
    <w:rsid w:val="00542621"/>
    <w:rsid w:val="005451CD"/>
    <w:rsid w:val="00562959"/>
    <w:rsid w:val="00575197"/>
    <w:rsid w:val="005F0514"/>
    <w:rsid w:val="005F77C7"/>
    <w:rsid w:val="0060374B"/>
    <w:rsid w:val="006133B1"/>
    <w:rsid w:val="00622927"/>
    <w:rsid w:val="00626CFA"/>
    <w:rsid w:val="00656135"/>
    <w:rsid w:val="00664696"/>
    <w:rsid w:val="0066774E"/>
    <w:rsid w:val="00681632"/>
    <w:rsid w:val="006A009F"/>
    <w:rsid w:val="006C0294"/>
    <w:rsid w:val="006D69AB"/>
    <w:rsid w:val="00702EE1"/>
    <w:rsid w:val="00707209"/>
    <w:rsid w:val="007250B4"/>
    <w:rsid w:val="007275C1"/>
    <w:rsid w:val="00743587"/>
    <w:rsid w:val="00766B60"/>
    <w:rsid w:val="007C7697"/>
    <w:rsid w:val="007D25AA"/>
    <w:rsid w:val="00801837"/>
    <w:rsid w:val="00805119"/>
    <w:rsid w:val="00805A11"/>
    <w:rsid w:val="00872CA6"/>
    <w:rsid w:val="0089064E"/>
    <w:rsid w:val="00896010"/>
    <w:rsid w:val="008A543E"/>
    <w:rsid w:val="008B10C9"/>
    <w:rsid w:val="008C7FAC"/>
    <w:rsid w:val="008D6938"/>
    <w:rsid w:val="00902E6C"/>
    <w:rsid w:val="00916473"/>
    <w:rsid w:val="0092629D"/>
    <w:rsid w:val="009605E2"/>
    <w:rsid w:val="00964FFB"/>
    <w:rsid w:val="0096631D"/>
    <w:rsid w:val="00990993"/>
    <w:rsid w:val="009B2999"/>
    <w:rsid w:val="009D27AB"/>
    <w:rsid w:val="009F0618"/>
    <w:rsid w:val="00A032FB"/>
    <w:rsid w:val="00A05101"/>
    <w:rsid w:val="00A15B96"/>
    <w:rsid w:val="00A253F3"/>
    <w:rsid w:val="00A468CD"/>
    <w:rsid w:val="00A642EB"/>
    <w:rsid w:val="00A8093F"/>
    <w:rsid w:val="00A96444"/>
    <w:rsid w:val="00AB2868"/>
    <w:rsid w:val="00AC0285"/>
    <w:rsid w:val="00AD5DF0"/>
    <w:rsid w:val="00AE002E"/>
    <w:rsid w:val="00AF524E"/>
    <w:rsid w:val="00B04A0D"/>
    <w:rsid w:val="00B10B0F"/>
    <w:rsid w:val="00B25294"/>
    <w:rsid w:val="00B51DA0"/>
    <w:rsid w:val="00BB544F"/>
    <w:rsid w:val="00BE4741"/>
    <w:rsid w:val="00C021D0"/>
    <w:rsid w:val="00C12E2F"/>
    <w:rsid w:val="00C13F44"/>
    <w:rsid w:val="00C235C8"/>
    <w:rsid w:val="00C4356D"/>
    <w:rsid w:val="00C55929"/>
    <w:rsid w:val="00C611BD"/>
    <w:rsid w:val="00C81E1C"/>
    <w:rsid w:val="00CA170F"/>
    <w:rsid w:val="00CB58A3"/>
    <w:rsid w:val="00CB5EA0"/>
    <w:rsid w:val="00CC0AB8"/>
    <w:rsid w:val="00CD09D1"/>
    <w:rsid w:val="00CE0126"/>
    <w:rsid w:val="00D141A7"/>
    <w:rsid w:val="00D147AA"/>
    <w:rsid w:val="00D25B64"/>
    <w:rsid w:val="00D4118C"/>
    <w:rsid w:val="00D524A8"/>
    <w:rsid w:val="00D738B4"/>
    <w:rsid w:val="00D74E75"/>
    <w:rsid w:val="00D8660E"/>
    <w:rsid w:val="00D96A3F"/>
    <w:rsid w:val="00DE54D6"/>
    <w:rsid w:val="00DF15B8"/>
    <w:rsid w:val="00E103A2"/>
    <w:rsid w:val="00E53709"/>
    <w:rsid w:val="00E576A5"/>
    <w:rsid w:val="00E628C0"/>
    <w:rsid w:val="00E71B43"/>
    <w:rsid w:val="00E763B3"/>
    <w:rsid w:val="00EB608C"/>
    <w:rsid w:val="00ED0E73"/>
    <w:rsid w:val="00ED186C"/>
    <w:rsid w:val="00ED2499"/>
    <w:rsid w:val="00EE3B11"/>
    <w:rsid w:val="00F01B70"/>
    <w:rsid w:val="00F10C18"/>
    <w:rsid w:val="00F32D93"/>
    <w:rsid w:val="00F479A2"/>
    <w:rsid w:val="00F73ABD"/>
    <w:rsid w:val="00F82645"/>
    <w:rsid w:val="00F916E2"/>
    <w:rsid w:val="00FC05C7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podstawy-prawn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chgo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chgor.org/index.php/realizacja-lsr-2014-20.html" TargetMode="Externa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minrol.gov.pl/Ministerstwo/Biuro-Prasowe/Informacje-Prasowe/Zmiana-Ksiegi-wizualizacji-znaku-PROW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://www.duchgo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B3C7-71C9-4396-9C8D-B7E7629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2019-07-10T06:12:00Z</cp:lastPrinted>
  <dcterms:created xsi:type="dcterms:W3CDTF">2019-07-17T10:15:00Z</dcterms:created>
  <dcterms:modified xsi:type="dcterms:W3CDTF">2019-07-17T10:15:00Z</dcterms:modified>
</cp:coreProperties>
</file>